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卫生法律法规</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6200"/>
        <w:gridCol w:w="1350"/>
        <w:gridCol w:w="1479"/>
      </w:tblGrid>
      <w:tr w14:paraId="0EF63F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00B0F0"/>
            <w:vAlign w:val="center"/>
          </w:tcPr>
          <w:p w14:paraId="53F00E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6200" w:type="dxa"/>
            <w:tcBorders>
              <w:tl2br w:val="nil"/>
              <w:tr2bl w:val="nil"/>
            </w:tcBorders>
            <w:shd w:val="clear" w:color="auto" w:fill="00B0F0"/>
            <w:vAlign w:val="center"/>
          </w:tcPr>
          <w:p w14:paraId="7C54C7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50" w:type="dxa"/>
            <w:tcBorders>
              <w:tl2br w:val="nil"/>
              <w:tr2bl w:val="nil"/>
            </w:tcBorders>
            <w:shd w:val="clear" w:color="auto" w:fill="00B0F0"/>
            <w:vAlign w:val="center"/>
          </w:tcPr>
          <w:p w14:paraId="653FAA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479" w:type="dxa"/>
            <w:tcBorders>
              <w:tl2br w:val="nil"/>
              <w:tr2bl w:val="nil"/>
            </w:tcBorders>
            <w:shd w:val="clear" w:color="auto" w:fill="00B0F0"/>
            <w:vAlign w:val="center"/>
          </w:tcPr>
          <w:p w14:paraId="1D1A3C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77518A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B9672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w:t>
            </w:r>
          </w:p>
        </w:tc>
        <w:tc>
          <w:tcPr>
            <w:tcW w:w="6200" w:type="dxa"/>
            <w:tcBorders>
              <w:tl2br w:val="nil"/>
              <w:tr2bl w:val="nil"/>
            </w:tcBorders>
            <w:shd w:val="clear" w:color="auto" w:fill="FFFFFF"/>
            <w:vAlign w:val="center"/>
          </w:tcPr>
          <w:p w14:paraId="4BD276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绪论</w:t>
            </w:r>
          </w:p>
        </w:tc>
        <w:tc>
          <w:tcPr>
            <w:tcW w:w="1350" w:type="dxa"/>
            <w:tcBorders>
              <w:tl2br w:val="nil"/>
              <w:tr2bl w:val="nil"/>
            </w:tcBorders>
            <w:shd w:val="clear" w:color="auto" w:fill="FFFFFF"/>
            <w:vAlign w:val="center"/>
          </w:tcPr>
          <w:p w14:paraId="1C9C72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BF6B0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0205050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1C90C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6200" w:type="dxa"/>
            <w:tcBorders>
              <w:tl2br w:val="nil"/>
              <w:tr2bl w:val="nil"/>
            </w:tcBorders>
            <w:shd w:val="clear" w:color="auto" w:fill="FFFFFF"/>
            <w:vAlign w:val="center"/>
          </w:tcPr>
          <w:p w14:paraId="392E89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中国卫生法律法规</w:t>
            </w:r>
          </w:p>
        </w:tc>
        <w:tc>
          <w:tcPr>
            <w:tcW w:w="1350" w:type="dxa"/>
            <w:tcBorders>
              <w:tl2br w:val="nil"/>
              <w:tr2bl w:val="nil"/>
            </w:tcBorders>
            <w:shd w:val="clear" w:color="auto" w:fill="FFFFFF"/>
            <w:vAlign w:val="center"/>
          </w:tcPr>
          <w:p w14:paraId="7329CA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DFD380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97176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16FB7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6200" w:type="dxa"/>
            <w:tcBorders>
              <w:tl2br w:val="nil"/>
              <w:tr2bl w:val="nil"/>
            </w:tcBorders>
            <w:shd w:val="clear" w:color="auto" w:fill="FFFFFF"/>
            <w:vAlign w:val="center"/>
          </w:tcPr>
          <w:p w14:paraId="1710C7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医学社会组织法律法规</w:t>
            </w:r>
          </w:p>
        </w:tc>
        <w:tc>
          <w:tcPr>
            <w:tcW w:w="1350" w:type="dxa"/>
            <w:tcBorders>
              <w:tl2br w:val="nil"/>
              <w:tr2bl w:val="nil"/>
            </w:tcBorders>
            <w:shd w:val="clear" w:color="auto" w:fill="FFFFFF"/>
            <w:vAlign w:val="center"/>
          </w:tcPr>
          <w:p w14:paraId="1567D7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D2845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FD276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1600B7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6200" w:type="dxa"/>
            <w:tcBorders>
              <w:tl2br w:val="nil"/>
              <w:tr2bl w:val="nil"/>
            </w:tcBorders>
            <w:shd w:val="clear" w:color="auto" w:fill="FFFFFF"/>
            <w:vAlign w:val="center"/>
          </w:tcPr>
          <w:p w14:paraId="6A3A5E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医疗机构管理法律法规</w:t>
            </w:r>
          </w:p>
        </w:tc>
        <w:tc>
          <w:tcPr>
            <w:tcW w:w="1350" w:type="dxa"/>
            <w:tcBorders>
              <w:tl2br w:val="nil"/>
              <w:tr2bl w:val="nil"/>
            </w:tcBorders>
            <w:shd w:val="clear" w:color="auto" w:fill="FFFFFF"/>
            <w:vAlign w:val="center"/>
          </w:tcPr>
          <w:p w14:paraId="26E332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3183EC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2C50AE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773F4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5</w:t>
            </w:r>
          </w:p>
        </w:tc>
        <w:tc>
          <w:tcPr>
            <w:tcW w:w="6200" w:type="dxa"/>
            <w:tcBorders>
              <w:tl2br w:val="nil"/>
              <w:tr2bl w:val="nil"/>
            </w:tcBorders>
            <w:shd w:val="clear" w:color="auto" w:fill="FFFFFF"/>
            <w:vAlign w:val="center"/>
          </w:tcPr>
          <w:p w14:paraId="1F07A56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护士管理法律制度</w:t>
            </w:r>
          </w:p>
        </w:tc>
        <w:tc>
          <w:tcPr>
            <w:tcW w:w="1350" w:type="dxa"/>
            <w:tcBorders>
              <w:tl2br w:val="nil"/>
              <w:tr2bl w:val="nil"/>
            </w:tcBorders>
            <w:shd w:val="clear" w:color="auto" w:fill="FFFFFF"/>
            <w:vAlign w:val="center"/>
          </w:tcPr>
          <w:p w14:paraId="0F3218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9DEE1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D8305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6196A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6</w:t>
            </w:r>
          </w:p>
        </w:tc>
        <w:tc>
          <w:tcPr>
            <w:tcW w:w="6200" w:type="dxa"/>
            <w:tcBorders>
              <w:tl2br w:val="nil"/>
              <w:tr2bl w:val="nil"/>
            </w:tcBorders>
            <w:shd w:val="clear" w:color="auto" w:fill="FFFFFF"/>
            <w:vAlign w:val="center"/>
          </w:tcPr>
          <w:p w14:paraId="7473D2C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护理法律关系</w:t>
            </w:r>
          </w:p>
        </w:tc>
        <w:tc>
          <w:tcPr>
            <w:tcW w:w="1350" w:type="dxa"/>
            <w:tcBorders>
              <w:tl2br w:val="nil"/>
              <w:tr2bl w:val="nil"/>
            </w:tcBorders>
            <w:shd w:val="clear" w:color="auto" w:fill="FFFFFF"/>
            <w:vAlign w:val="center"/>
          </w:tcPr>
          <w:p w14:paraId="1E48B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E466B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49CCE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36BA5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7</w:t>
            </w:r>
          </w:p>
        </w:tc>
        <w:tc>
          <w:tcPr>
            <w:tcW w:w="6200" w:type="dxa"/>
            <w:tcBorders>
              <w:tl2br w:val="nil"/>
              <w:tr2bl w:val="nil"/>
            </w:tcBorders>
            <w:shd w:val="clear" w:color="auto" w:fill="FFFFFF"/>
            <w:vAlign w:val="center"/>
          </w:tcPr>
          <w:p w14:paraId="03BD91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护理行为法律风险管理制度</w:t>
            </w:r>
          </w:p>
        </w:tc>
        <w:tc>
          <w:tcPr>
            <w:tcW w:w="1350" w:type="dxa"/>
            <w:tcBorders>
              <w:tl2br w:val="nil"/>
              <w:tr2bl w:val="nil"/>
            </w:tcBorders>
            <w:shd w:val="clear" w:color="auto" w:fill="FFFFFF"/>
            <w:vAlign w:val="center"/>
          </w:tcPr>
          <w:p w14:paraId="1C740C9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1479" w:type="dxa"/>
            <w:tcBorders>
              <w:tl2br w:val="nil"/>
              <w:tr2bl w:val="nil"/>
            </w:tcBorders>
            <w:shd w:val="clear" w:color="auto" w:fill="FFFFFF"/>
            <w:vAlign w:val="center"/>
          </w:tcPr>
          <w:p w14:paraId="50A7A8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7A947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070E9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8</w:t>
            </w:r>
          </w:p>
        </w:tc>
        <w:tc>
          <w:tcPr>
            <w:tcW w:w="6200" w:type="dxa"/>
            <w:tcBorders>
              <w:tl2br w:val="nil"/>
              <w:tr2bl w:val="nil"/>
            </w:tcBorders>
            <w:shd w:val="clear" w:color="auto" w:fill="FFFFFF"/>
            <w:vAlign w:val="center"/>
          </w:tcPr>
          <w:p w14:paraId="4768A2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执业医师法律法规</w:t>
            </w:r>
          </w:p>
        </w:tc>
        <w:tc>
          <w:tcPr>
            <w:tcW w:w="1350" w:type="dxa"/>
            <w:tcBorders>
              <w:tl2br w:val="nil"/>
              <w:tr2bl w:val="nil"/>
            </w:tcBorders>
            <w:shd w:val="clear" w:color="auto" w:fill="FFFFFF"/>
            <w:vAlign w:val="center"/>
          </w:tcPr>
          <w:p w14:paraId="2D9C4B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41108A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0AA8C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FB1D4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9</w:t>
            </w:r>
          </w:p>
        </w:tc>
        <w:tc>
          <w:tcPr>
            <w:tcW w:w="6200" w:type="dxa"/>
            <w:tcBorders>
              <w:tl2br w:val="nil"/>
              <w:tr2bl w:val="nil"/>
            </w:tcBorders>
            <w:shd w:val="clear" w:color="auto" w:fill="FFFFFF"/>
            <w:vAlign w:val="center"/>
          </w:tcPr>
          <w:p w14:paraId="0844433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药品管理法律法规</w:t>
            </w:r>
          </w:p>
        </w:tc>
        <w:tc>
          <w:tcPr>
            <w:tcW w:w="1350" w:type="dxa"/>
            <w:tcBorders>
              <w:tl2br w:val="nil"/>
              <w:tr2bl w:val="nil"/>
            </w:tcBorders>
            <w:shd w:val="clear" w:color="auto" w:fill="FFFFFF"/>
            <w:vAlign w:val="center"/>
          </w:tcPr>
          <w:p w14:paraId="44B511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56B489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A6904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C7C7B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10</w:t>
            </w:r>
          </w:p>
        </w:tc>
        <w:tc>
          <w:tcPr>
            <w:tcW w:w="6200" w:type="dxa"/>
            <w:tcBorders>
              <w:tl2br w:val="nil"/>
              <w:tr2bl w:val="nil"/>
            </w:tcBorders>
            <w:shd w:val="clear" w:color="auto" w:fill="FFFFFF"/>
            <w:vAlign w:val="center"/>
          </w:tcPr>
          <w:p w14:paraId="20240B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突发公共卫生事件与灾害事故应急处理法律法规</w:t>
            </w:r>
          </w:p>
        </w:tc>
        <w:tc>
          <w:tcPr>
            <w:tcW w:w="1350" w:type="dxa"/>
            <w:tcBorders>
              <w:tl2br w:val="nil"/>
              <w:tr2bl w:val="nil"/>
            </w:tcBorders>
            <w:shd w:val="clear" w:color="auto" w:fill="FFFFFF"/>
            <w:vAlign w:val="center"/>
          </w:tcPr>
          <w:p w14:paraId="70AA88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15E624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889FD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77135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11</w:t>
            </w:r>
          </w:p>
        </w:tc>
        <w:tc>
          <w:tcPr>
            <w:tcW w:w="6200" w:type="dxa"/>
            <w:tcBorders>
              <w:tl2br w:val="nil"/>
              <w:tr2bl w:val="nil"/>
            </w:tcBorders>
            <w:shd w:val="clear" w:color="auto" w:fill="FFFFFF"/>
            <w:vAlign w:val="center"/>
          </w:tcPr>
          <w:p w14:paraId="09CBD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传染病防治法律法规</w:t>
            </w:r>
          </w:p>
        </w:tc>
        <w:tc>
          <w:tcPr>
            <w:tcW w:w="1350" w:type="dxa"/>
            <w:tcBorders>
              <w:tl2br w:val="nil"/>
              <w:tr2bl w:val="nil"/>
            </w:tcBorders>
            <w:shd w:val="clear" w:color="auto" w:fill="FFFFFF"/>
            <w:vAlign w:val="center"/>
          </w:tcPr>
          <w:p w14:paraId="6132E9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4EFD3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4CF566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6481E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12</w:t>
            </w:r>
          </w:p>
        </w:tc>
        <w:tc>
          <w:tcPr>
            <w:tcW w:w="6200" w:type="dxa"/>
            <w:tcBorders>
              <w:tl2br w:val="nil"/>
              <w:tr2bl w:val="nil"/>
            </w:tcBorders>
            <w:shd w:val="clear" w:color="auto" w:fill="FFFFFF"/>
            <w:vAlign w:val="center"/>
          </w:tcPr>
          <w:p w14:paraId="31190D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献血法律法规</w:t>
            </w:r>
          </w:p>
        </w:tc>
        <w:tc>
          <w:tcPr>
            <w:tcW w:w="1350" w:type="dxa"/>
            <w:tcBorders>
              <w:tl2br w:val="nil"/>
              <w:tr2bl w:val="nil"/>
            </w:tcBorders>
            <w:shd w:val="clear" w:color="auto" w:fill="FFFFFF"/>
            <w:vAlign w:val="center"/>
          </w:tcPr>
          <w:p w14:paraId="421B0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3D99F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F97D1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3D230F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13</w:t>
            </w:r>
          </w:p>
        </w:tc>
        <w:tc>
          <w:tcPr>
            <w:tcW w:w="6200" w:type="dxa"/>
            <w:tcBorders>
              <w:tl2br w:val="nil"/>
              <w:tr2bl w:val="nil"/>
            </w:tcBorders>
            <w:shd w:val="clear" w:color="auto" w:fill="FFFFFF"/>
            <w:vAlign w:val="center"/>
          </w:tcPr>
          <w:p w14:paraId="7E6645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中医药法律法规</w:t>
            </w:r>
          </w:p>
        </w:tc>
        <w:tc>
          <w:tcPr>
            <w:tcW w:w="1350" w:type="dxa"/>
            <w:tcBorders>
              <w:tl2br w:val="nil"/>
              <w:tr2bl w:val="nil"/>
            </w:tcBorders>
            <w:shd w:val="clear" w:color="auto" w:fill="FFFFFF"/>
            <w:vAlign w:val="center"/>
          </w:tcPr>
          <w:p w14:paraId="7CA2AD4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2D91F7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6642B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A2ACE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14</w:t>
            </w:r>
          </w:p>
        </w:tc>
        <w:tc>
          <w:tcPr>
            <w:tcW w:w="6200" w:type="dxa"/>
            <w:tcBorders>
              <w:tl2br w:val="nil"/>
              <w:tr2bl w:val="nil"/>
            </w:tcBorders>
            <w:shd w:val="clear" w:color="auto" w:fill="FFFFFF"/>
            <w:vAlign w:val="center"/>
          </w:tcPr>
          <w:p w14:paraId="799D3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母婴保健法律法规</w:t>
            </w:r>
          </w:p>
        </w:tc>
        <w:tc>
          <w:tcPr>
            <w:tcW w:w="1350" w:type="dxa"/>
            <w:tcBorders>
              <w:tl2br w:val="nil"/>
              <w:tr2bl w:val="nil"/>
            </w:tcBorders>
            <w:shd w:val="clear" w:color="auto" w:fill="FFFFFF"/>
            <w:vAlign w:val="center"/>
          </w:tcPr>
          <w:p w14:paraId="05F61C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1142D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7E369C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0BB42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总计</w:t>
            </w:r>
          </w:p>
        </w:tc>
        <w:tc>
          <w:tcPr>
            <w:tcW w:w="6200" w:type="dxa"/>
            <w:tcBorders>
              <w:tl2br w:val="nil"/>
              <w:tr2bl w:val="nil"/>
            </w:tcBorders>
            <w:shd w:val="clear" w:color="auto" w:fill="FFFFFF"/>
            <w:vAlign w:val="center"/>
          </w:tcPr>
          <w:p w14:paraId="046971B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c>
          <w:tcPr>
            <w:tcW w:w="1350" w:type="dxa"/>
            <w:tcBorders>
              <w:tl2br w:val="nil"/>
              <w:tr2bl w:val="nil"/>
            </w:tcBorders>
            <w:shd w:val="clear" w:color="auto" w:fill="FFFFFF"/>
            <w:vAlign w:val="center"/>
          </w:tcPr>
          <w:p w14:paraId="1F5A3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44</w:t>
            </w:r>
          </w:p>
        </w:tc>
        <w:tc>
          <w:tcPr>
            <w:tcW w:w="1479" w:type="dxa"/>
            <w:tcBorders>
              <w:tl2br w:val="nil"/>
              <w:tr2bl w:val="nil"/>
            </w:tcBorders>
            <w:shd w:val="clear" w:color="auto" w:fill="FFFFFF"/>
            <w:vAlign w:val="center"/>
          </w:tcPr>
          <w:p w14:paraId="5F7F3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bl>
    <w:p w14:paraId="22AA41B4">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heme="minorEastAsia" w:hAnsiTheme="minorEastAsia" w:eastAsiaTheme="minorEastAsia" w:cstheme="minorEastAsia"/>
          <w:b/>
          <w:bCs/>
          <w:sz w:val="28"/>
          <w:szCs w:val="28"/>
        </w:rPr>
        <w:t>第</w:t>
      </w:r>
      <w:r>
        <w:rPr>
          <w:rFonts w:hint="eastAsia" w:asciiTheme="minorEastAsia" w:hAnsiTheme="minorEastAsia" w:eastAsiaTheme="minorEastAsia" w:cstheme="minorEastAsia"/>
          <w:b/>
          <w:bCs/>
          <w:sz w:val="28"/>
          <w:szCs w:val="28"/>
          <w:lang w:val="en-US" w:eastAsia="zh-CN"/>
        </w:rPr>
        <w:t>14</w:t>
      </w:r>
      <w:r>
        <w:rPr>
          <w:rFonts w:hint="eastAsia" w:asciiTheme="minorEastAsia" w:hAnsiTheme="minorEastAsia" w:eastAsiaTheme="minorEastAsia" w:cstheme="minorEastAsia"/>
          <w:b/>
          <w:bCs/>
          <w:sz w:val="28"/>
          <w:szCs w:val="28"/>
        </w:rPr>
        <w:t>课  母婴保健法律法规</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253F374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3082E08">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bookmarkStart w:id="0" w:name="_GoBack" w:colFirst="1" w:colLast="2"/>
            <w:r>
              <w:rPr>
                <w:rFonts w:hint="eastAsia" w:asciiTheme="minorEastAsia" w:hAnsiTheme="minorEastAsia" w:eastAsiaTheme="minorEastAsia" w:cstheme="minorEastAsia"/>
                <w:b/>
                <w:szCs w:val="20"/>
              </w:rPr>
              <w:t>课  题</w:t>
            </w:r>
          </w:p>
        </w:tc>
        <w:tc>
          <w:tcPr>
            <w:tcW w:w="7173" w:type="dxa"/>
            <w:gridSpan w:val="2"/>
            <w:tcBorders>
              <w:tl2br w:val="nil"/>
              <w:tr2bl w:val="nil"/>
            </w:tcBorders>
            <w:vAlign w:val="center"/>
          </w:tcPr>
          <w:p w14:paraId="4E5BE289">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母婴保健法律法规</w:t>
            </w:r>
          </w:p>
        </w:tc>
      </w:tr>
      <w:tr w14:paraId="7076D6B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13834F11">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课  时</w:t>
            </w:r>
          </w:p>
        </w:tc>
        <w:tc>
          <w:tcPr>
            <w:tcW w:w="7173" w:type="dxa"/>
            <w:gridSpan w:val="2"/>
            <w:tcBorders>
              <w:tl2br w:val="nil"/>
              <w:tr2bl w:val="nil"/>
            </w:tcBorders>
            <w:vAlign w:val="center"/>
          </w:tcPr>
          <w:p w14:paraId="762D0558">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lang w:val="en-US" w:eastAsia="zh-CN"/>
              </w:rPr>
              <w:t>3</w:t>
            </w:r>
            <w:r>
              <w:rPr>
                <w:rFonts w:hint="eastAsia" w:asciiTheme="minorEastAsia" w:hAnsiTheme="minorEastAsia" w:eastAsiaTheme="minorEastAsia" w:cstheme="minorEastAsia"/>
                <w:szCs w:val="20"/>
              </w:rPr>
              <w:t>课时（1</w:t>
            </w:r>
            <w:r>
              <w:rPr>
                <w:rFonts w:hint="eastAsia" w:asciiTheme="minorEastAsia" w:hAnsiTheme="minorEastAsia" w:eastAsiaTheme="minorEastAsia" w:cstheme="minorEastAsia"/>
                <w:szCs w:val="20"/>
                <w:lang w:val="en-US" w:eastAsia="zh-CN"/>
              </w:rPr>
              <w:t>35</w:t>
            </w:r>
            <w:r>
              <w:rPr>
                <w:rFonts w:hint="eastAsia" w:asciiTheme="minorEastAsia" w:hAnsiTheme="minorEastAsia" w:eastAsiaTheme="minorEastAsia" w:cstheme="minorEastAsia"/>
                <w:szCs w:val="20"/>
              </w:rPr>
              <w:t xml:space="preserve"> min）。</w:t>
            </w:r>
          </w:p>
        </w:tc>
      </w:tr>
      <w:tr w14:paraId="37709CD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D2A23C3">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教学目标</w:t>
            </w:r>
          </w:p>
        </w:tc>
        <w:tc>
          <w:tcPr>
            <w:tcW w:w="7173" w:type="dxa"/>
            <w:gridSpan w:val="2"/>
            <w:tcBorders>
              <w:tl2br w:val="nil"/>
              <w:tr2bl w:val="nil"/>
            </w:tcBorders>
            <w:vAlign w:val="center"/>
          </w:tcPr>
          <w:p w14:paraId="09031E28">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b/>
              </w:rPr>
            </w:pPr>
            <w:r>
              <w:rPr>
                <w:rFonts w:hint="eastAsia" w:asciiTheme="minorEastAsia" w:hAnsiTheme="minorEastAsia" w:eastAsiaTheme="minorEastAsia" w:cstheme="minorEastAsia"/>
                <w:b/>
              </w:rPr>
              <w:t>知识技能目标：</w:t>
            </w:r>
          </w:p>
          <w:p w14:paraId="7BA753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heme="minorEastAsia" w:hAnsiTheme="minorEastAsia" w:eastAsiaTheme="minorEastAsia" w:cstheme="minorEastAsia"/>
                <w:bCs/>
                <w:szCs w:val="20"/>
              </w:rPr>
            </w:pPr>
            <w:r>
              <w:rPr>
                <w:rFonts w:hint="eastAsia" w:asciiTheme="minorEastAsia" w:hAnsiTheme="minorEastAsia" w:eastAsiaTheme="minorEastAsia" w:cstheme="minorEastAsia"/>
                <w:bCs/>
                <w:szCs w:val="20"/>
                <w:lang w:val="en-US" w:eastAsia="zh-CN"/>
              </w:rPr>
              <w:t xml:space="preserve">1. 掌握母婴保健、母婴保健法的概念及立法意义。 </w:t>
            </w:r>
          </w:p>
          <w:p w14:paraId="3985CF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heme="minorEastAsia" w:hAnsiTheme="minorEastAsia" w:eastAsiaTheme="minorEastAsia" w:cstheme="minorEastAsia"/>
                <w:bCs/>
                <w:szCs w:val="20"/>
              </w:rPr>
            </w:pPr>
            <w:r>
              <w:rPr>
                <w:rFonts w:hint="eastAsia" w:asciiTheme="minorEastAsia" w:hAnsiTheme="minorEastAsia" w:eastAsiaTheme="minorEastAsia" w:cstheme="minorEastAsia"/>
                <w:bCs/>
                <w:szCs w:val="20"/>
                <w:lang w:val="en-US" w:eastAsia="zh-CN"/>
              </w:rPr>
              <w:t xml:space="preserve">2. 熟悉母婴保健法的执行机构及其职责；熟悉婚前保健、孕产期保健等服务的监护与管理；熟悉母婴保健法的法律责任。 </w:t>
            </w:r>
          </w:p>
          <w:p w14:paraId="6FFA1ED6">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思政育人目标：</w:t>
            </w:r>
          </w:p>
          <w:p w14:paraId="116BBB7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bCs/>
                <w:szCs w:val="20"/>
              </w:rPr>
              <w:t>让学生</w:t>
            </w:r>
            <w:r>
              <w:rPr>
                <w:rFonts w:hint="eastAsia" w:asciiTheme="minorEastAsia" w:hAnsiTheme="minorEastAsia" w:eastAsiaTheme="minorEastAsia" w:cstheme="minorEastAsia"/>
                <w:bCs/>
                <w:szCs w:val="20"/>
                <w:lang w:val="en-US" w:eastAsia="zh-CN"/>
              </w:rPr>
              <w:t>具有形成依法从事婚前保健、孕产期保健和孕产期监护与管理服务执业活动必备的执业素质。</w:t>
            </w:r>
          </w:p>
        </w:tc>
      </w:tr>
      <w:tr w14:paraId="15B6755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00B389B">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教学重难点</w:t>
            </w:r>
          </w:p>
        </w:tc>
        <w:tc>
          <w:tcPr>
            <w:tcW w:w="7173" w:type="dxa"/>
            <w:gridSpan w:val="2"/>
            <w:tcBorders>
              <w:tl2br w:val="nil"/>
              <w:tr2bl w:val="nil"/>
            </w:tcBorders>
            <w:vAlign w:val="center"/>
          </w:tcPr>
          <w:p w14:paraId="65C2E2A7">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lang w:eastAsia="zh-CN"/>
              </w:rPr>
            </w:pPr>
            <w:r>
              <w:rPr>
                <w:rFonts w:hint="eastAsia" w:asciiTheme="minorEastAsia" w:hAnsiTheme="minorEastAsia" w:eastAsiaTheme="minorEastAsia" w:cstheme="minorEastAsia"/>
                <w:b/>
                <w:szCs w:val="20"/>
              </w:rPr>
              <w:t>教学重点：</w:t>
            </w:r>
            <w:r>
              <w:rPr>
                <w:rFonts w:hint="eastAsia" w:asciiTheme="minorEastAsia" w:hAnsiTheme="minorEastAsia" w:eastAsiaTheme="minorEastAsia" w:cstheme="minorEastAsia"/>
                <w:kern w:val="0"/>
              </w:rPr>
              <w:t>母婴保健概述</w:t>
            </w:r>
          </w:p>
          <w:p w14:paraId="09B7D845">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b/>
                <w:szCs w:val="20"/>
              </w:rPr>
              <w:t>教学难点：</w:t>
            </w:r>
            <w:r>
              <w:rPr>
                <w:rFonts w:hint="eastAsia" w:asciiTheme="minorEastAsia" w:hAnsiTheme="minorEastAsia" w:eastAsiaTheme="minorEastAsia" w:cstheme="minorEastAsia"/>
                <w:kern w:val="0"/>
              </w:rPr>
              <w:t>母婴保健法的立法意义</w:t>
            </w:r>
          </w:p>
        </w:tc>
      </w:tr>
      <w:tr w14:paraId="2D49604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1970FE3C">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教学方法</w:t>
            </w:r>
          </w:p>
        </w:tc>
        <w:tc>
          <w:tcPr>
            <w:tcW w:w="7173" w:type="dxa"/>
            <w:gridSpan w:val="2"/>
            <w:tcBorders>
              <w:tl2br w:val="nil"/>
              <w:tr2bl w:val="nil"/>
            </w:tcBorders>
            <w:vAlign w:val="center"/>
          </w:tcPr>
          <w:p w14:paraId="4F7F575F">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讲授法、问答法、讨论法</w:t>
            </w:r>
          </w:p>
        </w:tc>
      </w:tr>
      <w:tr w14:paraId="591FAB7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CEF8DD5">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教学用具</w:t>
            </w:r>
          </w:p>
        </w:tc>
        <w:tc>
          <w:tcPr>
            <w:tcW w:w="7173" w:type="dxa"/>
            <w:gridSpan w:val="2"/>
            <w:tcBorders>
              <w:tl2br w:val="nil"/>
              <w:tr2bl w:val="nil"/>
            </w:tcBorders>
            <w:vAlign w:val="center"/>
          </w:tcPr>
          <w:p w14:paraId="577B9A9C">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电脑、投影仪、多媒体课件、教材</w:t>
            </w:r>
          </w:p>
        </w:tc>
      </w:tr>
      <w:tr w14:paraId="10C2965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C8E6FF"/>
            <w:vAlign w:val="center"/>
          </w:tcPr>
          <w:p w14:paraId="2ABA3A99">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教学设计</w:t>
            </w:r>
          </w:p>
        </w:tc>
        <w:tc>
          <w:tcPr>
            <w:tcW w:w="7173" w:type="dxa"/>
            <w:gridSpan w:val="2"/>
            <w:tcBorders>
              <w:bottom w:val="double" w:color="4472C4" w:themeColor="accent5" w:sz="4" w:space="0"/>
              <w:tl2br w:val="nil"/>
              <w:tr2bl w:val="nil"/>
            </w:tcBorders>
            <w:vAlign w:val="center"/>
          </w:tcPr>
          <w:p w14:paraId="4EB850F2">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lang w:val="en-US" w:eastAsia="zh-CN"/>
              </w:rPr>
            </w:pPr>
            <w:r>
              <w:rPr>
                <w:rFonts w:hint="eastAsia" w:asciiTheme="minorEastAsia" w:hAnsiTheme="minorEastAsia" w:eastAsiaTheme="minorEastAsia" w:cstheme="minorEastAsia"/>
                <w:kern w:val="0"/>
                <w:szCs w:val="20"/>
              </w:rPr>
              <w:t>第1节课：</w:t>
            </w:r>
            <w:r>
              <w:rPr>
                <w:rFonts w:hint="eastAsia" w:asciiTheme="minorEastAsia" w:hAnsiTheme="minorEastAsia" w:eastAsiaTheme="minorEastAsia" w:cstheme="minorEastAsia"/>
                <w:szCs w:val="20"/>
                <w:lang w:eastAsia="zh-CN"/>
              </w:rPr>
              <w:t>考勤</w:t>
            </w:r>
            <w:r>
              <w:rPr>
                <w:rFonts w:hint="eastAsia" w:asciiTheme="minorEastAsia" w:hAnsiTheme="minorEastAsia" w:eastAsiaTheme="minorEastAsia" w:cstheme="minorEastAsia"/>
                <w:szCs w:val="20"/>
              </w:rPr>
              <w:t>（</w:t>
            </w:r>
            <w:r>
              <w:rPr>
                <w:rFonts w:hint="eastAsia" w:asciiTheme="minorEastAsia" w:hAnsiTheme="minorEastAsia" w:eastAsiaTheme="minorEastAsia" w:cstheme="minorEastAsia"/>
                <w:szCs w:val="20"/>
                <w:lang w:val="en-US" w:eastAsia="zh-CN"/>
              </w:rPr>
              <w:t>2</w:t>
            </w:r>
            <w:r>
              <w:rPr>
                <w:rFonts w:hint="eastAsia" w:asciiTheme="minorEastAsia" w:hAnsiTheme="minorEastAsia" w:eastAsiaTheme="minorEastAsia" w:cstheme="minorEastAsia"/>
                <w:szCs w:val="20"/>
              </w:rPr>
              <w:t>min）--</w:t>
            </w:r>
            <w:r>
              <w:rPr>
                <w:rFonts w:hint="eastAsia" w:asciiTheme="minorEastAsia" w:hAnsiTheme="minorEastAsia" w:eastAsiaTheme="minorEastAsia" w:cstheme="minorEastAsia"/>
                <w:szCs w:val="20"/>
                <w:lang w:eastAsia="zh-CN"/>
              </w:rPr>
              <w:t>知识讲解</w:t>
            </w:r>
            <w:r>
              <w:rPr>
                <w:rFonts w:hint="eastAsia" w:asciiTheme="minorEastAsia" w:hAnsiTheme="minorEastAsia" w:eastAsiaTheme="minorEastAsia" w:cstheme="minorEastAsia"/>
                <w:szCs w:val="20"/>
              </w:rPr>
              <w:t>（40min）</w:t>
            </w:r>
            <w:r>
              <w:rPr>
                <w:rFonts w:hint="eastAsia" w:asciiTheme="minorEastAsia" w:hAnsiTheme="minorEastAsia" w:eastAsiaTheme="minorEastAsia" w:cstheme="minorEastAsia"/>
                <w:szCs w:val="20"/>
                <w:lang w:val="en-US" w:eastAsia="zh-CN"/>
              </w:rPr>
              <w:t>--作业布置（3min）</w:t>
            </w:r>
          </w:p>
          <w:p w14:paraId="5E2252B7">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lang w:val="en-US" w:eastAsia="zh-CN"/>
              </w:rPr>
            </w:pPr>
            <w:r>
              <w:rPr>
                <w:rFonts w:hint="eastAsia" w:asciiTheme="minorEastAsia" w:hAnsiTheme="minorEastAsia" w:eastAsiaTheme="minorEastAsia" w:cstheme="minorEastAsia"/>
                <w:kern w:val="0"/>
                <w:szCs w:val="20"/>
              </w:rPr>
              <w:t>第2节课：</w:t>
            </w:r>
            <w:r>
              <w:rPr>
                <w:rFonts w:hint="eastAsia" w:asciiTheme="minorEastAsia" w:hAnsiTheme="minorEastAsia" w:eastAsiaTheme="minorEastAsia" w:cstheme="minorEastAsia"/>
                <w:szCs w:val="20"/>
                <w:lang w:eastAsia="zh-CN"/>
              </w:rPr>
              <w:t>知识讲解</w:t>
            </w:r>
            <w:r>
              <w:rPr>
                <w:rFonts w:hint="eastAsia" w:asciiTheme="minorEastAsia" w:hAnsiTheme="minorEastAsia" w:eastAsiaTheme="minorEastAsia" w:cstheme="minorEastAsia"/>
                <w:szCs w:val="20"/>
              </w:rPr>
              <w:t>（40min）--</w:t>
            </w:r>
            <w:r>
              <w:rPr>
                <w:rFonts w:hint="eastAsia" w:asciiTheme="minorEastAsia" w:hAnsiTheme="minorEastAsia" w:eastAsiaTheme="minorEastAsia" w:cstheme="minorEastAsia"/>
                <w:szCs w:val="20"/>
                <w:lang w:eastAsia="zh-CN"/>
              </w:rPr>
              <w:t>课堂小结</w:t>
            </w:r>
            <w:r>
              <w:rPr>
                <w:rFonts w:hint="eastAsia" w:asciiTheme="minorEastAsia" w:hAnsiTheme="minorEastAsia" w:eastAsiaTheme="minorEastAsia" w:cstheme="minorEastAsia"/>
                <w:szCs w:val="20"/>
              </w:rPr>
              <w:t>（3min）</w:t>
            </w:r>
            <w:r>
              <w:rPr>
                <w:rFonts w:hint="eastAsia" w:asciiTheme="minorEastAsia" w:hAnsiTheme="minorEastAsia" w:eastAsiaTheme="minorEastAsia" w:cstheme="minorEastAsia"/>
                <w:szCs w:val="20"/>
                <w:lang w:val="en-US" w:eastAsia="zh-CN"/>
              </w:rPr>
              <w:t>--作业布置（2min）</w:t>
            </w:r>
          </w:p>
          <w:p w14:paraId="453DD8E7">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kern w:val="0"/>
                <w:szCs w:val="20"/>
              </w:rPr>
              <w:t>第3节课：</w:t>
            </w:r>
            <w:r>
              <w:rPr>
                <w:rFonts w:hint="eastAsia" w:asciiTheme="minorEastAsia" w:hAnsiTheme="minorEastAsia" w:eastAsiaTheme="minorEastAsia" w:cstheme="minorEastAsia"/>
                <w:szCs w:val="20"/>
                <w:lang w:eastAsia="zh-CN"/>
              </w:rPr>
              <w:t>知识讲解</w:t>
            </w:r>
            <w:r>
              <w:rPr>
                <w:rFonts w:hint="eastAsia" w:asciiTheme="minorEastAsia" w:hAnsiTheme="minorEastAsia" w:eastAsiaTheme="minorEastAsia" w:cstheme="minorEastAsia"/>
                <w:szCs w:val="20"/>
              </w:rPr>
              <w:t>（40min）--</w:t>
            </w:r>
            <w:r>
              <w:rPr>
                <w:rFonts w:hint="eastAsia" w:asciiTheme="minorEastAsia" w:hAnsiTheme="minorEastAsia" w:eastAsiaTheme="minorEastAsia" w:cstheme="minorEastAsia"/>
                <w:szCs w:val="20"/>
                <w:lang w:eastAsia="zh-CN"/>
              </w:rPr>
              <w:t>课堂小结</w:t>
            </w:r>
            <w:r>
              <w:rPr>
                <w:rFonts w:hint="eastAsia" w:asciiTheme="minorEastAsia" w:hAnsiTheme="minorEastAsia" w:eastAsiaTheme="minorEastAsia" w:cstheme="minorEastAsia"/>
                <w:szCs w:val="20"/>
              </w:rPr>
              <w:t>（3min）--</w:t>
            </w:r>
            <w:r>
              <w:rPr>
                <w:rFonts w:hint="eastAsia" w:asciiTheme="minorEastAsia" w:hAnsiTheme="minorEastAsia" w:eastAsiaTheme="minorEastAsia" w:cstheme="minorEastAsia"/>
                <w:szCs w:val="20"/>
                <w:lang w:eastAsia="zh-CN"/>
              </w:rPr>
              <w:t>作业布置</w:t>
            </w:r>
            <w:r>
              <w:rPr>
                <w:rFonts w:hint="eastAsia" w:asciiTheme="minorEastAsia" w:hAnsiTheme="minorEastAsia" w:eastAsiaTheme="minorEastAsia" w:cstheme="minorEastAsia"/>
                <w:szCs w:val="20"/>
              </w:rPr>
              <w:t>（2min）</w:t>
            </w:r>
          </w:p>
        </w:tc>
      </w:tr>
      <w:tr w14:paraId="22E5772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C8E6FF"/>
            <w:vAlign w:val="center"/>
          </w:tcPr>
          <w:p w14:paraId="3454B3C4">
            <w:pPr>
              <w:keepNext w:val="0"/>
              <w:keepLines w:val="0"/>
              <w:suppressLineNumbers w:val="0"/>
              <w:spacing w:before="0" w:beforeAutospacing="0" w:after="0" w:afterAutospacing="0" w:line="360" w:lineRule="auto"/>
              <w:ind w:left="0" w:right="0" w:hanging="8"/>
              <w:jc w:val="center"/>
              <w:rPr>
                <w:rFonts w:hint="eastAsia" w:asciiTheme="minorEastAsia" w:hAnsiTheme="minorEastAsia" w:eastAsiaTheme="minorEastAsia" w:cstheme="minorEastAsia"/>
                <w:b/>
                <w:bCs w:val="0"/>
                <w:color w:val="C00000"/>
                <w:szCs w:val="24"/>
              </w:rPr>
            </w:pPr>
            <w:r>
              <w:rPr>
                <w:rFonts w:hint="eastAsia" w:asciiTheme="minorEastAsia" w:hAnsiTheme="minorEastAsia" w:eastAsiaTheme="minorEastAsia" w:cstheme="minorEastAsia"/>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C8E6FF"/>
            <w:vAlign w:val="center"/>
          </w:tcPr>
          <w:p w14:paraId="1D48F3A7">
            <w:pPr>
              <w:keepNext w:val="0"/>
              <w:keepLines w:val="0"/>
              <w:suppressLineNumbers w:val="0"/>
              <w:spacing w:before="0" w:beforeAutospacing="0" w:after="0" w:afterAutospacing="0" w:line="360" w:lineRule="auto"/>
              <w:ind w:left="0" w:right="0"/>
              <w:jc w:val="center"/>
              <w:rPr>
                <w:rFonts w:hint="eastAsia" w:asciiTheme="minorEastAsia" w:hAnsiTheme="minorEastAsia" w:eastAsiaTheme="minorEastAsia" w:cstheme="minorEastAsia"/>
                <w:b/>
                <w:bCs w:val="0"/>
                <w:color w:val="C00000"/>
                <w:szCs w:val="20"/>
              </w:rPr>
            </w:pPr>
            <w:r>
              <w:rPr>
                <w:rFonts w:hint="eastAsia" w:asciiTheme="minorEastAsia" w:hAnsiTheme="minorEastAsia" w:eastAsiaTheme="minorEastAsia" w:cstheme="minorEastAsia"/>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C8E6FF"/>
            <w:vAlign w:val="center"/>
          </w:tcPr>
          <w:p w14:paraId="69418E09">
            <w:pPr>
              <w:keepNext w:val="0"/>
              <w:keepLines w:val="0"/>
              <w:suppressLineNumbers w:val="0"/>
              <w:spacing w:before="0" w:beforeAutospacing="0" w:after="0" w:afterAutospacing="0" w:line="360" w:lineRule="auto"/>
              <w:ind w:left="0" w:right="0"/>
              <w:jc w:val="center"/>
              <w:rPr>
                <w:rFonts w:hint="eastAsia" w:asciiTheme="minorEastAsia" w:hAnsiTheme="minorEastAsia" w:eastAsiaTheme="minorEastAsia" w:cstheme="minorEastAsia"/>
                <w:b/>
                <w:bCs w:val="0"/>
                <w:color w:val="C00000"/>
                <w:szCs w:val="20"/>
              </w:rPr>
            </w:pPr>
            <w:r>
              <w:rPr>
                <w:rFonts w:hint="eastAsia" w:asciiTheme="minorEastAsia" w:hAnsiTheme="minorEastAsia" w:eastAsiaTheme="minorEastAsia" w:cstheme="minorEastAsia"/>
                <w:b/>
                <w:bCs w:val="0"/>
                <w:color w:val="C00000"/>
                <w:szCs w:val="20"/>
              </w:rPr>
              <w:t>设计意图</w:t>
            </w:r>
          </w:p>
        </w:tc>
      </w:tr>
      <w:tr w14:paraId="5BC06C4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C8E6FF"/>
            <w:vAlign w:val="center"/>
          </w:tcPr>
          <w:p w14:paraId="56031F8F">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lang w:eastAsia="zh-CN"/>
              </w:rPr>
            </w:pPr>
            <w:r>
              <w:rPr>
                <w:rFonts w:hint="eastAsia" w:asciiTheme="minorEastAsia" w:hAnsiTheme="minorEastAsia" w:eastAsiaTheme="minorEastAsia" w:cstheme="minorEastAsia"/>
                <w:b/>
                <w:szCs w:val="24"/>
                <w:lang w:eastAsia="zh-CN"/>
              </w:rPr>
              <w:t>考勤</w:t>
            </w:r>
          </w:p>
          <w:p w14:paraId="5A57A346">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lang w:eastAsia="zh-CN"/>
              </w:rPr>
            </w:pPr>
            <w:r>
              <w:rPr>
                <w:rFonts w:hint="eastAsia" w:asciiTheme="minorEastAsia" w:hAnsiTheme="minorEastAsia" w:eastAsiaTheme="minorEastAsia" w:cstheme="minorEastAsia"/>
                <w:b/>
                <w:szCs w:val="24"/>
                <w:lang w:eastAsia="zh-CN"/>
              </w:rPr>
              <w:t>（</w:t>
            </w:r>
            <w:r>
              <w:rPr>
                <w:rFonts w:hint="eastAsia" w:asciiTheme="minorEastAsia" w:hAnsiTheme="minorEastAsia" w:eastAsiaTheme="minorEastAsia" w:cstheme="minorEastAsia"/>
                <w:b/>
                <w:szCs w:val="24"/>
                <w:lang w:val="en-US" w:eastAsia="zh-CN"/>
              </w:rPr>
              <w:t>2min</w:t>
            </w:r>
            <w:r>
              <w:rPr>
                <w:rFonts w:hint="eastAsia" w:asciiTheme="minorEastAsia" w:hAnsiTheme="minorEastAsia" w:eastAsiaTheme="minorEastAsia" w:cstheme="minorEastAsia"/>
                <w:b/>
                <w:szCs w:val="24"/>
                <w:lang w:eastAsia="zh-CN"/>
              </w:rPr>
              <w:t>）</w:t>
            </w:r>
          </w:p>
        </w:tc>
        <w:tc>
          <w:tcPr>
            <w:tcW w:w="5807" w:type="dxa"/>
            <w:tcBorders>
              <w:top w:val="double" w:color="4472C4" w:themeColor="accent5" w:sz="4" w:space="0"/>
              <w:tl2br w:val="nil"/>
              <w:tr2bl w:val="nil"/>
            </w:tcBorders>
            <w:vAlign w:val="center"/>
          </w:tcPr>
          <w:p w14:paraId="7140F4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C00000"/>
                <w:szCs w:val="24"/>
              </w:rPr>
            </w:pPr>
            <w:r>
              <w:rPr>
                <w:rFonts w:hint="eastAsia" w:asciiTheme="minorEastAsia" w:hAnsiTheme="minorEastAsia" w:eastAsiaTheme="minorEastAsia" w:cstheme="minorEastAsia"/>
                <w:color w:val="C00000"/>
                <w:szCs w:val="24"/>
              </w:rPr>
              <w:t>■</w:t>
            </w:r>
            <w:r>
              <w:rPr>
                <w:rFonts w:hint="eastAsia" w:asciiTheme="minorEastAsia" w:hAnsiTheme="minorEastAsia" w:eastAsiaTheme="minorEastAsia" w:cstheme="minorEastAsia"/>
                <w:color w:val="C00000"/>
                <w:szCs w:val="24"/>
                <w:lang w:eastAsia="zh-CN"/>
              </w:rPr>
              <w:t>【教师】</w:t>
            </w:r>
            <w:r>
              <w:rPr>
                <w:rFonts w:hint="eastAsia" w:asciiTheme="minorEastAsia" w:hAnsiTheme="minorEastAsia" w:eastAsiaTheme="minorEastAsia" w:cstheme="minorEastAsia"/>
                <w:color w:val="C00000"/>
                <w:szCs w:val="24"/>
              </w:rPr>
              <w:t>清点上课人数，记录好考勤</w:t>
            </w:r>
          </w:p>
          <w:p w14:paraId="4A6D0B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color w:val="548235" w:themeColor="accent6" w:themeShade="BF"/>
                <w:szCs w:val="24"/>
              </w:rPr>
              <w:t>■</w:t>
            </w:r>
            <w:r>
              <w:rPr>
                <w:rFonts w:hint="eastAsia" w:asciiTheme="minorEastAsia" w:hAnsiTheme="minorEastAsia" w:eastAsiaTheme="minorEastAsia" w:cstheme="minorEastAsia"/>
                <w:color w:val="548235" w:themeColor="accent6" w:themeShade="BF"/>
                <w:szCs w:val="24"/>
                <w:lang w:eastAsia="zh-CN"/>
              </w:rPr>
              <w:t>【学生】</w:t>
            </w:r>
            <w:r>
              <w:rPr>
                <w:rFonts w:hint="eastAsia" w:asciiTheme="minorEastAsia" w:hAnsiTheme="minorEastAsia" w:eastAsiaTheme="minorEastAsia" w:cstheme="minorEastAsia"/>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736461C7">
            <w:pPr>
              <w:keepNext w:val="0"/>
              <w:keepLines w:val="0"/>
              <w:suppressLineNumbers w:val="0"/>
              <w:spacing w:before="0" w:beforeAutospacing="0" w:after="0" w:afterAutospacing="0" w:line="360" w:lineRule="auto"/>
              <w:ind w:left="0" w:right="0"/>
              <w:jc w:val="center"/>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培养学生的组织纪律性,掌握学生的出勤情况</w:t>
            </w:r>
          </w:p>
        </w:tc>
      </w:tr>
      <w:tr w14:paraId="0FC5D0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084822C">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sz w:val="24"/>
                <w:szCs w:val="24"/>
                <w:lang w:eastAsia="zh-CN"/>
              </w:rPr>
            </w:pPr>
            <w:r>
              <w:rPr>
                <w:rFonts w:hint="eastAsia" w:asciiTheme="minorEastAsia" w:hAnsiTheme="minorEastAsia" w:eastAsiaTheme="minorEastAsia" w:cstheme="minorEastAsia"/>
                <w:b/>
                <w:sz w:val="24"/>
                <w:szCs w:val="24"/>
                <w:lang w:eastAsia="zh-CN"/>
              </w:rPr>
              <w:t>知识讲解</w:t>
            </w:r>
          </w:p>
          <w:p w14:paraId="3877BAB1">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szCs w:val="24"/>
              </w:rPr>
              <w:t>（</w:t>
            </w:r>
            <w:r>
              <w:rPr>
                <w:rFonts w:hint="eastAsia" w:asciiTheme="minorEastAsia" w:hAnsiTheme="minorEastAsia" w:eastAsiaTheme="minorEastAsia" w:cstheme="minorEastAsia"/>
                <w:szCs w:val="24"/>
                <w:lang w:val="en-US" w:eastAsia="zh-CN"/>
              </w:rPr>
              <w:t>40</w:t>
            </w:r>
            <w:r>
              <w:rPr>
                <w:rFonts w:hint="eastAsia" w:asciiTheme="minorEastAsia" w:hAnsiTheme="minorEastAsia" w:eastAsiaTheme="minorEastAsia" w:cstheme="minorEastAsia"/>
                <w:szCs w:val="24"/>
              </w:rPr>
              <w:t>min）</w:t>
            </w:r>
          </w:p>
        </w:tc>
        <w:tc>
          <w:tcPr>
            <w:tcW w:w="5807" w:type="dxa"/>
            <w:tcBorders>
              <w:tl2br w:val="nil"/>
              <w:tr2bl w:val="nil"/>
            </w:tcBorders>
            <w:vAlign w:val="center"/>
          </w:tcPr>
          <w:p w14:paraId="4FBE9897">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color w:val="C00000"/>
                <w:lang w:eastAsia="zh-CN"/>
              </w:rPr>
            </w:pPr>
            <w:r>
              <w:rPr>
                <w:rFonts w:hint="eastAsia" w:asciiTheme="minorEastAsia" w:hAnsiTheme="minorEastAsia" w:eastAsiaTheme="minorEastAsia" w:cstheme="minorEastAsia"/>
                <w:b/>
                <w:color w:val="C00000"/>
              </w:rPr>
              <w:t>【教师】</w:t>
            </w:r>
            <w:r>
              <w:rPr>
                <w:rFonts w:hint="eastAsia" w:asciiTheme="minorEastAsia" w:hAnsiTheme="minorEastAsia" w:eastAsiaTheme="minorEastAsia" w:cstheme="minorEastAsia"/>
                <w:b w:val="0"/>
                <w:bCs/>
                <w:color w:val="C00000"/>
                <w:lang w:val="en-US" w:eastAsia="zh-CN"/>
              </w:rPr>
              <w:t>展示母婴保健概述和婚前保健</w:t>
            </w:r>
          </w:p>
          <w:p w14:paraId="4D62EC4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保障母亲和儿童的健康权利是全世界各国政府和人民共同关注的社会问题。母亲与婴儿的健康状况不仅反映其本身的健康素质问题，还反映社会人群的整体健康水平，更反映整个国家政治、经济、文化的整体水平。“儿童优先，母亲安全”已成为国际社会的共识。这是因为母婴保健直接关系到儿童的生存与成长，关系到家庭的美满与幸福、社会的和谐与稳定、国家的繁荣与昌盛。</w:t>
            </w:r>
          </w:p>
          <w:p w14:paraId="5449A7C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在我国，保障妇女儿童的合法权益，保护妇女儿童的身心健康，一直受到党和政府的高度重视与关怀。我国宪法规定：“婚姻、家庭、母亲和儿童受国家的保护。”《新婚姻法》第二条规定：“保护妇女、儿童和老人的合法权益。”1988年，我国通过了《女职工劳动保护规定》，1992年国务院发布了《妇女权益保障法》，该法第二条规定：“妇女在政治的、经济的、文化的、社会的和家庭的生活等方面享有与男子平等的权利。国家保护妇女依法享有的特殊权益，逐步完善对妇女的社会保障制度。禁止歧视、虐待、残害妇女。”并于1994年10月27日，中华人民共和国第八届全国人民代表大会常务委员会第十次会议通过，1995年６月１日起施行了《中华人民共和国母婴保健法》（以下简称《母婴保健法》）。原卫生部于1995年8月27日发布的《中华人民共和国母婴保健法实施办法》，为2001年6月20日国务院颁布的《中华人民共和国母婴保健法实施办法》所代替。此外，原卫生部也颁发了一系列专门的法规与规章。这些法律、法规和规章构成了我国母婴保健法律体系，对于发展我国妇幼卫生事业，保障妇女儿童健康，提高人口出生素质，促进家庭幸福、社会和谐稳定、民族兴旺发达和国家繁荣昌盛发挥了巨大作用。同时也标志着保障母婴身心健康及人身安全走向了法制化轨道。</w:t>
            </w:r>
          </w:p>
          <w:p w14:paraId="56CD186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一、母婴保健的概念</w:t>
            </w:r>
          </w:p>
          <w:p w14:paraId="7B62714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是指医疗保健机构运用现代医学科学技术对母亲和儿童、婴儿的身心健康和生命安全的维持与保护。根据《母婴保健法》的规定，国家发展母婴保健事业，提供必要条件和物质帮助，使母亲和婴儿获得医疗保健服务。各级人民政府领导母婴保健工作。母婴保健事业应当纳入国民经济和社会发展计划。国务院卫生行政部门主管全国母</w:t>
            </w:r>
          </w:p>
          <w:p w14:paraId="3D1DE36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婴保健工作，根据不同地区情况提出分级分类指导原则，并对全国母婴保健工作实施监督。母婴保健通常分为下列两个阶段。</w:t>
            </w:r>
          </w:p>
          <w:p w14:paraId="6D38204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（一）婚前保健</w:t>
            </w:r>
          </w:p>
          <w:p w14:paraId="4AF9A32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医疗保健机构应当为公民提供婚前保健服务。婚前保健服务包括下列内容。</w:t>
            </w:r>
          </w:p>
          <w:p w14:paraId="1519D92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（1）婚前卫生指导。关于性卫生知识、生育知识和遗传病知识的教育。</w:t>
            </w:r>
          </w:p>
          <w:p w14:paraId="6467BB6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（2）婚前卫生咨询。对有关婚配、生育保健等问题提供医学意见。</w:t>
            </w:r>
          </w:p>
          <w:p w14:paraId="380F263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（3）婚前医学检查。对准备结婚的男女双方可能患影响结婚和生育的疾病进行医学检查。婚前医学检查包括：①严重遗传性疾病；②指定传染病；③有关精神病。</w:t>
            </w:r>
          </w:p>
          <w:p w14:paraId="657C69E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（二）孕产期保健</w:t>
            </w:r>
          </w:p>
          <w:p w14:paraId="0DB0C94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医疗保健机构应当为育龄妇女孕产期保健服务。孕产期保健服务包括以下内容。</w:t>
            </w:r>
          </w:p>
          <w:p w14:paraId="1C9E8BB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（1）母婴保健指导。对孕育健康后代以及严重遗传性疾病和碘缺乏病等地方病的发病原因、治疗和预防方法提供医学意见。</w:t>
            </w:r>
          </w:p>
          <w:p w14:paraId="7292761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（2）孕妇、产妇保健。为孕妇、产妇提供卫生、营养、心理等方面的咨询和指导以及产前定期检查等医疗保健范围。</w:t>
            </w:r>
          </w:p>
          <w:p w14:paraId="6E5CE21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（3）胎儿保健。为胎儿生长发育进行监护，提供咨询和医学指导。</w:t>
            </w:r>
          </w:p>
          <w:p w14:paraId="077B0EC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（4）新生儿保健。为新生儿生长发育、哺乳和护理提供医疗保健服务。</w:t>
            </w:r>
          </w:p>
          <w:p w14:paraId="3330E54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二、母婴保健法的概念</w:t>
            </w:r>
          </w:p>
          <w:p w14:paraId="26917B2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母婴保健法是调整保障母亲和婴儿健康，提高出生人口素质活动中产生的各种社会关系的法律规范的总称。泛指《母婴保健法》及与其相配套实施的法规、规章和规范性文件。</w:t>
            </w:r>
          </w:p>
          <w:p w14:paraId="2E44B90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三、母婴保健法的立法意义</w:t>
            </w:r>
          </w:p>
          <w:p w14:paraId="0D91EB8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（一）体现党和政府对妇女儿童健康的关怀</w:t>
            </w:r>
          </w:p>
          <w:p w14:paraId="69F86FC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法的颁布和实施，充分体现了党和政府对广大妇女与儿童身心健康和生命安全的高度重视与亲切关怀；对加强政府对妇幼卫生工作的领导，发展妇幼保健事业，保障妇女和儿童身心健康，提高出生人口素质，促进家庭幸福、社会和谐、民族兴旺、国家富强具有十分重要的意义。</w:t>
            </w:r>
          </w:p>
          <w:p w14:paraId="3FFCA59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（二）第一部保护妇女儿童的法律</w:t>
            </w:r>
          </w:p>
          <w:p w14:paraId="136B75C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《母婴保健法》是中华人民共和国成立以来第一部保护妇女儿童健康的法律，是《中华人民共和国宪法》对妇女、儿童保护原则的具体化，是我国妇幼保健发展史上的一个重要里程碑。</w:t>
            </w:r>
          </w:p>
          <w:p w14:paraId="7220729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（三）充分显示妇幼工作的法制化轨道</w:t>
            </w:r>
          </w:p>
          <w:p w14:paraId="27B780A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法》规定：“国家发展母婴保健事业，提供必要条件和物质帮助，使母亲和婴儿获得医疗保健服务。”并强调各级人民政府应当采取积极措施，加强母婴保健工作，提高母婴医疗保健水平，将母婴保健这一经常性、基础性的工作法制化。</w:t>
            </w:r>
          </w:p>
          <w:p w14:paraId="238BCE0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四、母婴保健法的执行机构及其职责</w:t>
            </w:r>
          </w:p>
          <w:p w14:paraId="75F8F8E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（一）卫计委主管全国母婴保健工作</w:t>
            </w:r>
          </w:p>
          <w:p w14:paraId="6507D6D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卫计委主管全国母婴保健工作，并对母婴保健工作实施监督管理，其主要职责是：①执行《母婴保健法》及《母婴保健法实施办法》；②制定《母婴保健法》配套规章及技术规范；③按照分级分类指导原则制定全国母婴保健工作发展规划和实施步骤；④组织鉴定并推广母婴保健适宜技术；⑤对母婴保健工作进行监督管理。</w:t>
            </w:r>
          </w:p>
          <w:p w14:paraId="10B908F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（二）各级人民政府领导母婴保健工作</w:t>
            </w:r>
          </w:p>
          <w:p w14:paraId="426A092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法》第三条第一款规定：“各级人民政府领导母婴保健工作。”其职责是：①将母婴保健事业纳入本地区国民经济和社会发展计划，制定本地区母婴保健工作发展规划，并为规划目标的实现提供政策保障；②组织、协调有关部门在各自职责范围内，配合卫生行政部门做好《母婴保健法》的执法监督管理工作；③为本地区医疗保健机构贯彻实施《母婴保健法》提供必要条件、物质帮助以及执法的专项经费。</w:t>
            </w:r>
          </w:p>
          <w:p w14:paraId="563AD99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（三）技术服务机构与人员的职责</w:t>
            </w:r>
          </w:p>
          <w:p w14:paraId="5E2C726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法》及《母婴保健法实施办法》规定的医疗保健机构是指依据《母婴保健法》开展母婴保健业务的各级妇幼保健机构以及其他开展母婴保健技术服务的机构。医疗保健机构应当为公民提供婚前保健服务和为育龄妇女与孕产妇提供孕产期保健服务。</w:t>
            </w:r>
          </w:p>
          <w:p w14:paraId="5D3D3DA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保健机构开展婚前医学检查，必须经设区的市级以上卫生行政部门审批；开展结扎手术和终止妊娠手术，必须经县级以上卫生行政部门审批；开展遗传病诊断和产前诊断，必须经省级卫生行政部门审批，均需取得《母婴保健技术服务执业许可证》。</w:t>
            </w:r>
          </w:p>
          <w:p w14:paraId="2BE0B8D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从事《母婴保健法》规定的婚前医学检查、遗传病诊断、产前诊断、结扎手术和终止妊娠手术的人员，应当参加卫生行政部门组织的《母婴保健法》知识培训和业务培训。凡符合卫计委规定的技术人员标准，经考核并取得卫生行政部门颁发的《母婴保健技术考核合格证书》的人员方可从事以上技术工作。</w:t>
            </w:r>
          </w:p>
          <w:p w14:paraId="629A785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从事家庭接生的人员必须参加卫生行政部门组织的《母婴保健法》知识培训和业务培训。凡符合卫计委规定的技术人员标准和要求，并经考核合格及取得县级卫生行政部门颁发的《家庭接生员技术合格证书》的人员方可从事正常生产的家庭接生工作。</w:t>
            </w:r>
          </w:p>
          <w:p w14:paraId="7E89675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未取得《母婴保健技术服务执业许可证》的医疗保健机构和未取得《母婴保健技术考核合格证书》《家庭接生员技术合格证书》的人员不得从事《母婴保健法》规定的婚前医学检查、遗传病诊断、产前诊断、结扎手术、终止妊娠手术和家庭接生。《母婴保健技术服务执业许可证》《母婴保健技术考核合格证书》《家庭接生员技术合格证书》有效期3年。有效期满后继续开展母婴保健技术服务的机构和人员，由原发证机关重新审核认可。</w:t>
            </w:r>
          </w:p>
          <w:p w14:paraId="51098C2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五、母婴保健技术服务</w:t>
            </w:r>
          </w:p>
          <w:p w14:paraId="522C743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技术服务主要包括下列事项：①有关母婴保健的科普宣传、教育和咨询；②婚前医学检查；③产前诊断和遗传病诊断；④助产技术；⑤实施医学上需要的节育手术；⑥新生儿疾病筛查；⑦有关生育、节育、不育的其他生殖保健服务。</w:t>
            </w:r>
          </w:p>
          <w:p w14:paraId="505B285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婚前保健</w:t>
            </w:r>
          </w:p>
          <w:p w14:paraId="021C7F1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一、婚前保健服务内容</w:t>
            </w:r>
          </w:p>
          <w:p w14:paraId="7CC1ED6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《母婴保健法》第七条规定：“医疗保健机构应当为公民提供婚前保健服务。”婚前保健服务包括下列内容。</w:t>
            </w:r>
          </w:p>
          <w:p w14:paraId="3C3DD00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（一）婚前卫生指导</w:t>
            </w:r>
          </w:p>
          <w:p w14:paraId="2B1FBCC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婚前卫生指导是指对准新郎、准新娘双方进行关于性卫生知识、生育知识和遗传病知识等生殖健康教育的过程。主要包括下列内容：①有关性卫生的保健和教育；②新婚避孕知识及计划生育指导；③受孕前的准备、环境和疾病对后代影响等孕前保健知识；④遗传病的基本知识；⑤影响婚育的有关疾病的基本知识；⑥其他生殖健康知识。</w:t>
            </w:r>
          </w:p>
          <w:p w14:paraId="2A6A47B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（二）婚前卫生咨询</w:t>
            </w:r>
          </w:p>
          <w:p w14:paraId="13FA0BA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婚前卫生咨询是指专业医师为服务对象对有关婚配、生育保健等问题提供医学科学信息，对可能产生的后果进行指导，并提出适当的建议。</w:t>
            </w:r>
          </w:p>
          <w:p w14:paraId="5A5A169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（三）婚前医学检查</w:t>
            </w:r>
          </w:p>
          <w:p w14:paraId="539833F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法实施办法》规定，在实行婚前医学检查的地区，准备结婚的男女双方在办理结婚登记前，应当到医疗、保健机构进行婚前医学检查。婚前医学检查是指医疗保健机构对准备结婚的男女双方可能患影响结婚和生育的疾病进行医学检查。婚前医学检查包括对下列疾病的检查：①严重遗传性疾病；②指定传染病；③有关精神病。经婚前医学检查，医疗保健机构应当出具婚前医学检查证明。婚前医学检查还包括询问病史、体格检查及相关检查。</w:t>
            </w:r>
          </w:p>
          <w:p w14:paraId="10228DA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二、婚前保健服务报告</w:t>
            </w:r>
          </w:p>
          <w:p w14:paraId="1FCF4A6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婚前保健服务报告是指经过婚前保健服务后所应做出的结论。通常有如下结论。</w:t>
            </w:r>
          </w:p>
          <w:p w14:paraId="02B70CD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（一）建议不宜结婚</w:t>
            </w:r>
          </w:p>
          <w:p w14:paraId="0AC55CB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华人民共和国婚姻法》规定，有下列情形之一的，禁止结婚：①直系血亲和三代以内的旁系血亲；②患有医学上认为不应当结婚的疾病。经婚前医学检查，发现上述两种情况者，检查医师应当提出“建议不宜结婚”的报告。</w:t>
            </w:r>
          </w:p>
          <w:p w14:paraId="6873DEA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（二）建议不宜生育</w:t>
            </w:r>
          </w:p>
          <w:p w14:paraId="77299FA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经婚前医学检查，对诊断患医学上认为不宜生育的严重遗传性疾病的，医师应当向男女双方说明情况，提出“建议不宜生育”的医学意见；经男女双方同意，采取长效避孕措施或者施行结扎手术后不生育的，可以结婚。但《中华人民共和国婚姻法》规定禁止结婚的除外。</w:t>
            </w:r>
          </w:p>
          <w:p w14:paraId="6C81F09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（三）建议暂缓结婚</w:t>
            </w:r>
          </w:p>
          <w:p w14:paraId="482692D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经婚前医学检查，对患指定传染病在传染期内或者有关精神病在发病期内的，医师应当提出“建议暂缓结婚”的医学意见；准备结婚的男女双方应当暂缓结婚。</w:t>
            </w:r>
          </w:p>
          <w:p w14:paraId="2F72E72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接受婚前医学检查的人员对检查结果持有异议的，可以申请医学技术鉴定，取得医学鉴定证明。男女双方在结婚登记时，应当持有婚前医学检查证明或者医学鉴定证明。</w:t>
            </w:r>
          </w:p>
          <w:p w14:paraId="31B21D7D">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rPr>
            </w:pPr>
          </w:p>
          <w:p w14:paraId="02AD8668">
            <w:pPr>
              <w:keepNext w:val="0"/>
              <w:keepLines w:val="0"/>
              <w:widowControl w:val="0"/>
              <w:suppressLineNumbers w:val="0"/>
              <w:autoSpaceDE w:val="0"/>
              <w:autoSpaceDN/>
              <w:spacing w:before="0" w:beforeAutospacing="0" w:after="0" w:afterAutospacing="0" w:line="360" w:lineRule="auto"/>
              <w:ind w:left="0" w:right="0"/>
              <w:jc w:val="left"/>
              <w:rPr>
                <w:rFonts w:hint="eastAsia" w:asciiTheme="minorEastAsia" w:hAnsiTheme="minorEastAsia" w:eastAsiaTheme="minorEastAsia" w:cstheme="minorEastAsia"/>
                <w:b/>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366" w:type="dxa"/>
            <w:tcBorders>
              <w:tl2br w:val="nil"/>
              <w:tr2bl w:val="nil"/>
            </w:tcBorders>
            <w:vAlign w:val="center"/>
          </w:tcPr>
          <w:p w14:paraId="3A78F305">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4"/>
                <w:lang w:eastAsia="zh-CN"/>
              </w:rPr>
              <w:t>展示母婴保健概述和婚前保健</w:t>
            </w:r>
            <w:r>
              <w:rPr>
                <w:rFonts w:hint="eastAsia" w:asciiTheme="minorEastAsia" w:hAnsiTheme="minorEastAsia" w:eastAsiaTheme="minorEastAsia" w:cstheme="minorEastAsia"/>
                <w:b/>
                <w:szCs w:val="24"/>
              </w:rPr>
              <w:t>，</w:t>
            </w:r>
            <w:r>
              <w:rPr>
                <w:rFonts w:hint="eastAsia" w:asciiTheme="minorEastAsia" w:hAnsiTheme="minorEastAsia" w:eastAsiaTheme="minorEastAsia" w:cstheme="minorEastAsia"/>
                <w:b/>
                <w:szCs w:val="24"/>
                <w:lang w:eastAsia="zh-CN"/>
              </w:rPr>
              <w:t>让学生更加仔细的阅读，从而</w:t>
            </w:r>
            <w:r>
              <w:rPr>
                <w:rFonts w:hint="eastAsia" w:asciiTheme="minorEastAsia" w:hAnsiTheme="minorEastAsia" w:eastAsiaTheme="minorEastAsia" w:cstheme="minorEastAsia"/>
                <w:b/>
                <w:szCs w:val="24"/>
              </w:rPr>
              <w:t>激发学生的学习欲望。</w:t>
            </w:r>
          </w:p>
        </w:tc>
      </w:tr>
      <w:tr w14:paraId="7EAAA01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EC9F8EC">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b/>
                <w:sz w:val="24"/>
                <w:szCs w:val="24"/>
                <w:lang w:eastAsia="zh-CN"/>
              </w:rPr>
              <w:t>作业布置</w:t>
            </w:r>
            <w:r>
              <w:rPr>
                <w:rFonts w:hint="eastAsia" w:asciiTheme="minorEastAsia" w:hAnsiTheme="minorEastAsia" w:eastAsiaTheme="minorEastAsia" w:cstheme="minorEastAsia"/>
                <w:b w:val="0"/>
                <w:bCs w:val="0"/>
                <w:szCs w:val="24"/>
              </w:rPr>
              <w:t>（</w:t>
            </w:r>
            <w:r>
              <w:rPr>
                <w:rFonts w:hint="eastAsia" w:asciiTheme="minorEastAsia" w:hAnsiTheme="minorEastAsia" w:eastAsiaTheme="minorEastAsia" w:cstheme="minorEastAsia"/>
                <w:b w:val="0"/>
                <w:bCs w:val="0"/>
                <w:szCs w:val="24"/>
                <w:lang w:val="en-US" w:eastAsia="zh-CN"/>
              </w:rPr>
              <w:t>3</w:t>
            </w:r>
            <w:r>
              <w:rPr>
                <w:rFonts w:hint="eastAsia" w:asciiTheme="minorEastAsia" w:hAnsiTheme="minorEastAsia" w:eastAsiaTheme="minorEastAsia" w:cstheme="minorEastAsia"/>
                <w:b w:val="0"/>
                <w:bCs w:val="0"/>
                <w:szCs w:val="24"/>
              </w:rPr>
              <w:t>min）</w:t>
            </w:r>
          </w:p>
        </w:tc>
        <w:tc>
          <w:tcPr>
            <w:tcW w:w="5807" w:type="dxa"/>
            <w:tcBorders>
              <w:tl2br w:val="nil"/>
              <w:tr2bl w:val="nil"/>
            </w:tcBorders>
            <w:vAlign w:val="center"/>
          </w:tcPr>
          <w:p w14:paraId="78E7CB19">
            <w:pPr>
              <w:keepNext w:val="0"/>
              <w:keepLines w:val="0"/>
              <w:suppressLineNumbers w:val="0"/>
              <w:spacing w:before="0" w:beforeAutospacing="0" w:after="0" w:afterAutospacing="0" w:line="360" w:lineRule="auto"/>
              <w:ind w:left="0" w:right="0"/>
              <w:rPr>
                <w:rFonts w:hint="eastAsia" w:asciiTheme="minorEastAsia" w:hAnsiTheme="minorEastAsia" w:eastAsiaTheme="minorEastAsia" w:cstheme="minorEastAsia"/>
                <w:b w:val="0"/>
                <w:bCs/>
                <w:color w:val="C00000"/>
                <w:kern w:val="2"/>
                <w:sz w:val="21"/>
                <w:szCs w:val="21"/>
                <w:lang w:val="en-US" w:eastAsia="zh-CN" w:bidi="ar"/>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布置课后作业</w:t>
            </w:r>
          </w:p>
          <w:p w14:paraId="3E88F9EF">
            <w:pPr>
              <w:keepNext w:val="0"/>
              <w:keepLines w:val="0"/>
              <w:suppressLineNumbers w:val="0"/>
              <w:spacing w:before="0" w:beforeAutospacing="0" w:after="0" w:afterAutospacing="0" w:line="360" w:lineRule="auto"/>
              <w:ind w:left="0" w:right="0" w:firstLine="422" w:firstLineChars="200"/>
              <w:rPr>
                <w:rFonts w:hint="eastAsia" w:asciiTheme="minorEastAsia" w:hAnsiTheme="minorEastAsia" w:eastAsiaTheme="minorEastAsia" w:cstheme="minorEastAsia"/>
                <w:bCs/>
                <w:lang w:val="en-US"/>
              </w:rPr>
            </w:pPr>
            <w:r>
              <w:rPr>
                <w:rFonts w:hint="eastAsia" w:asciiTheme="minorEastAsia" w:hAnsiTheme="minorEastAsia" w:eastAsiaTheme="minorEastAsia" w:cstheme="minorEastAsia"/>
                <w:b/>
                <w:bCs/>
                <w:color w:val="231F20"/>
                <w:kern w:val="0"/>
                <w:sz w:val="21"/>
                <w:szCs w:val="21"/>
                <w:lang w:val="en-US" w:eastAsia="zh-CN" w:bidi="ar"/>
              </w:rPr>
              <w:t>婚前保健服务内容是什么？</w:t>
            </w:r>
          </w:p>
        </w:tc>
        <w:tc>
          <w:tcPr>
            <w:tcW w:w="1366" w:type="dxa"/>
            <w:tcBorders>
              <w:tl2br w:val="nil"/>
              <w:tr2bl w:val="nil"/>
            </w:tcBorders>
            <w:vAlign w:val="center"/>
          </w:tcPr>
          <w:p w14:paraId="5298F6FB">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b w:val="0"/>
                <w:bCs/>
                <w:szCs w:val="24"/>
              </w:rPr>
              <w:t>通过课后练习，使学生巩固所学新知识</w:t>
            </w:r>
          </w:p>
        </w:tc>
      </w:tr>
      <w:tr w14:paraId="614DD94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DAAF38E">
            <w:pPr>
              <w:keepNext w:val="0"/>
              <w:keepLines w:val="0"/>
              <w:suppressLineNumbers w:val="0"/>
              <w:spacing w:before="0" w:beforeAutospacing="0" w:after="0" w:afterAutospacing="0" w:line="264" w:lineRule="auto"/>
              <w:ind w:left="0" w:right="0"/>
              <w:jc w:val="center"/>
              <w:rPr>
                <w:rFonts w:hint="eastAsia" w:asciiTheme="minorEastAsia" w:hAnsiTheme="minorEastAsia" w:eastAsiaTheme="minorEastAsia" w:cstheme="minorEastAsia"/>
                <w:b/>
                <w:sz w:val="24"/>
                <w:szCs w:val="24"/>
                <w:lang w:eastAsia="zh-CN"/>
              </w:rPr>
            </w:pPr>
            <w:r>
              <w:rPr>
                <w:rFonts w:hint="eastAsia" w:asciiTheme="minorEastAsia" w:hAnsiTheme="minorEastAsia" w:eastAsiaTheme="minorEastAsia" w:cstheme="minorEastAsia"/>
                <w:b/>
                <w:sz w:val="24"/>
                <w:szCs w:val="24"/>
                <w:lang w:eastAsia="zh-CN"/>
              </w:rPr>
              <w:t>知识讲解</w:t>
            </w:r>
          </w:p>
          <w:p w14:paraId="5FCA38D1">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szCs w:val="24"/>
              </w:rPr>
              <w:t>（40min）</w:t>
            </w:r>
          </w:p>
        </w:tc>
        <w:tc>
          <w:tcPr>
            <w:tcW w:w="5807" w:type="dxa"/>
            <w:tcBorders>
              <w:tl2br w:val="nil"/>
              <w:tr2bl w:val="nil"/>
            </w:tcBorders>
            <w:vAlign w:val="center"/>
          </w:tcPr>
          <w:p w14:paraId="2D7A125E">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展示孕产期保健和孕产期监护与管理</w:t>
            </w:r>
          </w:p>
          <w:p w14:paraId="1264C41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法》第十四条规定：“医疗保健机构应当为育龄妇女和孕产妇提供孕产期保健服务。”应当为育龄妇女提供有关避孕、节育、生育、不育和生殖健康的咨询和医疗保健服务。孕产期保健是围生医学的重要组成部分。围生医学又称为围产医学，是研究在围生期内加强对围生儿及孕产妇卫生保健的一门科学，对降低围生期母儿死亡率和病残儿发生率、保障母儿健康具有重要意义。围生期是指产前、产时和产后的一段时期。这段时期孕产妇要经历妊娠期、分娩期和产褥期3个阶段；胎儿要经历受精、细胞分裂、繁殖、发育，直至出生后6周的过程。</w:t>
            </w:r>
          </w:p>
          <w:p w14:paraId="7B91E89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一、孕产期保健内容</w:t>
            </w:r>
          </w:p>
          <w:p w14:paraId="7E95F44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孕产期保健服务包括下列内容。</w:t>
            </w:r>
          </w:p>
          <w:p w14:paraId="11F26B9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（一）母婴保健指导</w:t>
            </w:r>
          </w:p>
          <w:p w14:paraId="2E060DD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母婴保健指导是对孕育健康后代以及严重遗传性疾病和碘缺乏病等地方病的发病原因、治疗和预防方法提供医学意见。</w:t>
            </w:r>
          </w:p>
          <w:p w14:paraId="5641580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（二）孕妇、产妇保健</w:t>
            </w:r>
          </w:p>
          <w:p w14:paraId="294E541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孕妇、产妇保健是为孕妇、产妇提供卫生、营养、心理等方面的咨询和指导以及产前定期检查等医疗保健服务。其具体内容包括：①为孕产妇建立保健手册（卡），定期进行产前检查；②为孕产妇提供卫生、营养、心理等方面的医学指导与咨询；③对高危孕妇进行重点监护、随访和医疗保健服务；④为孕产妇提供安全分娩技术服务；⑤定期进行产后访视，指导产妇科学喂养婴儿；⑥提供避孕咨询指导和技术服务；⑦对产妇及其家属进行生殖健康教育和科学育儿知识教育；⑧其他孕产期保健服务。</w:t>
            </w:r>
          </w:p>
          <w:p w14:paraId="04C22B6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（三）胎儿保健</w:t>
            </w:r>
          </w:p>
          <w:p w14:paraId="0779BC8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胎儿保健是指为胎儿生长发育进行监护，提供咨询和医学指导。</w:t>
            </w:r>
          </w:p>
          <w:p w14:paraId="537FD05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（四）婴儿保健</w:t>
            </w:r>
          </w:p>
          <w:p w14:paraId="0F0E440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婴儿保健是指为婴儿生长发育、哺乳和护理提供医疗保健服务。医疗保健机构应当为产妇提供科学育儿、合理营养和母乳喂养的指导。</w:t>
            </w:r>
          </w:p>
          <w:p w14:paraId="3B41172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（1）医疗保健机构应当按照国家有关规定开展新生儿先天性、遗传性代谢病筛查、诊断、治疗和监测活动。</w:t>
            </w:r>
          </w:p>
          <w:p w14:paraId="79BA765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（2）医疗保健机构应当按照规定进行新生儿访视，建立儿童保健手册（卡），定期对其进行健康检查，提供有关预防疾病、合理膳食、促进智力发育等科学知识，做好婴儿多发病、常见病防治等医疗保健服务。</w:t>
            </w:r>
          </w:p>
          <w:p w14:paraId="08E2C82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（3）医疗保健机构应当对婴儿进行体格检查和按照规定的程序和项目进行预防接种以及提供婴儿多发病和常见病防治等医疗保健服务。婴儿的监护人应当保证婴儿及时接受预防接种。</w:t>
            </w:r>
          </w:p>
          <w:p w14:paraId="3E68C45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（4）国家推行母乳喂养。医疗保健机构应当为实施母乳喂养提供技术指导，为住院分娩的产妇提供必要的母乳喂养条件。医疗保健机构不得向孕产妇和婴儿家庭宣传、推荐母乳代用品。</w:t>
            </w:r>
          </w:p>
          <w:p w14:paraId="1802E5D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二、医学指导与医学意见</w:t>
            </w:r>
          </w:p>
          <w:p w14:paraId="136B069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医师发现或者怀疑患严重遗传性疾病的育龄夫妻，应当提出医学意见。育龄夫妻应当根据医师的医学意见采取相应的措施。</w:t>
            </w:r>
          </w:p>
          <w:p w14:paraId="06D3513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保健机构发现孕妇患有下列严重疾病或者接触物理、化学、生物等有毒、有害因素，可能危及孕妇生命安全或者可能严重影响孕妇健康和胎儿正常发育的，应当对孕妇进行医学指导和下列必要的医学检查：①严重的妊娠合并症或者并发症；②严重的精神性疾病；③国务院卫生行政部门规定的严重影响生育的其他疾病。</w:t>
            </w:r>
          </w:p>
          <w:p w14:paraId="30E90D5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法实施办法》第二十二条规定：“生育过严重遗传性疾病或者严重缺陷患儿的，再次妊娠前，夫妻双方应当按照国家有关规定到医疗、保健机构进行医学检查。医疗、保健机构应当向当事人介绍有关遗传性疾病的知识，给予咨询、指导。对诊断患有医学上认为不宜生育的严重遗传性疾病的，医师应当向当事人说明情况，并提出医学意见。”</w:t>
            </w:r>
          </w:p>
          <w:p w14:paraId="482469B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三、产前诊断与终止妊娠</w:t>
            </w:r>
          </w:p>
          <w:p w14:paraId="06783F2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（一）产前诊断</w:t>
            </w:r>
          </w:p>
          <w:p w14:paraId="159427E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法实施办法》第二十条规定：“孕妇有下列情形之一的，医师应当对其进行产前诊断：①羊水过多或者过少的；②胎儿发育异常或者胎儿有可疑畸形的；③孕早期接触过可能导致胎儿先天缺陷的物质的；④有遗传病家族史或者曾经分娩过先天性严重缺陷婴儿的；⑤初产妇年龄超过35周岁的。”</w:t>
            </w:r>
          </w:p>
          <w:p w14:paraId="6FA1A28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（二）终止妊娠</w:t>
            </w:r>
          </w:p>
          <w:p w14:paraId="2F74E40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法第十八条经产前诊断，有下列情形之一的，医师应当向夫妻双方说明情况，并提出终止妊娠的医学意见：①胎儿患严重遗传性疾病的；②胎儿有严重缺陷的；③因患严重疾病，继续妊娠可能危及孕妇生命安全或者严重危害孕妇健康的。依照《母婴保健法》规定施行终止妊娠或者结扎手术，应当经本人同意，并签署意见。本人无行为能力的，应当经其监护人同意，并签署意见。依照《母婴保健法》规定施行终止妊娠或者结扎手术的，接受免费服务。</w:t>
            </w:r>
          </w:p>
          <w:p w14:paraId="5D817D0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四、出生医学证明</w:t>
            </w:r>
          </w:p>
          <w:p w14:paraId="6C373E2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法》第二十三条规定：“医疗保健机构和从事家庭接生的人员按照国务院卫生行政部门的规定，出具统一制发的新生儿出生医学证明；有产妇和婴儿死亡以及新生儿出生缺陷情况的，应当向卫生行政部门报告。”卫计委统一制定的《出生医学证明》，由医疗保健机构出具，要求在新生儿出生后30天以内领取，并以此作为申报户口的依据。</w:t>
            </w:r>
          </w:p>
          <w:p w14:paraId="10C4BAE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五、母婴保健技术鉴定</w:t>
            </w:r>
          </w:p>
          <w:p w14:paraId="5D0CFE0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（一）母婴保健技术鉴定机构</w:t>
            </w:r>
          </w:p>
          <w:p w14:paraId="077D7EC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法》规定，县级以上地方人民政府可以设立医学技术鉴定组织，负责对婚前医学检查、遗传病诊断和产前诊断有异议的结果进行医学技术鉴定。医学技术鉴定组织即母婴保健医学技术鉴定委员会。《母婴保健实施办法》第三十一条明确规定：“母婴保健医学技术鉴定委员会分为省、市、县三级。”</w:t>
            </w:r>
          </w:p>
          <w:p w14:paraId="0A30371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（二）母婴保健任职成员条件</w:t>
            </w:r>
          </w:p>
          <w:p w14:paraId="12959D5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医学技术鉴定委员会成员应当符合下列任职条件：①县级母婴保健医学技术鉴定委员会成员应当具有主治医师以上专业技术职务；②设区的市级和省级母婴保健医学技术鉴定委员会成员应当具有副主任医师以上专业技术职务；③从事医学技术鉴定的人员，必须具有临床经验和医学遗传学知识及母婴保健专业知识水平。医学技术鉴定组织机构的组成人员，由卫生行政部门提名，同级人民政府聘任。</w:t>
            </w:r>
          </w:p>
          <w:p w14:paraId="6ADFE4F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医学技术鉴定实行回避制度。凡与当事人有利害关系，可能影响公正鉴定的人员，应当回避。</w:t>
            </w:r>
          </w:p>
          <w:p w14:paraId="227114F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（三）母婴保健技术鉴定程序</w:t>
            </w:r>
          </w:p>
          <w:p w14:paraId="1E52C79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（1）当事人对婚前医学检查、遗传病诊断、产前诊断结果有异议，需要进一步确诊的，可以自接到检查或者自诊断结果之日起15日内向所在地县级或者设区的市级母婴保健医学技术鉴定委员会提出书面鉴定申请。</w:t>
            </w:r>
          </w:p>
          <w:p w14:paraId="421D503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（2）母婴保健医学技术鉴定委员会应当自接到鉴定申请之日起30日内做出医学技术鉴定意见，并及时通知当事人。</w:t>
            </w:r>
          </w:p>
          <w:p w14:paraId="6BAE87B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（3）当事人对鉴定意见有异议的，可以自接到鉴定意见通知书之日起15日内向上一级母婴保健医学技术鉴定委员会申请再鉴定。</w:t>
            </w:r>
          </w:p>
          <w:p w14:paraId="34DC43F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母婴保健医学技术鉴定委员会进行医学鉴定时须有5名以上相关专业医学技术鉴定委员会成员参加。鉴定委员会成员应当在鉴定结论上署名；不同意见应当如实记录。鉴定委员会根据鉴定结论向当事人出具鉴定意见书。</w:t>
            </w:r>
          </w:p>
          <w:p w14:paraId="76D4DCD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孕产期监护与管理</w:t>
            </w:r>
          </w:p>
          <w:p w14:paraId="437487B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一、母婴保健的行政管理</w:t>
            </w:r>
          </w:p>
          <w:p w14:paraId="036C490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各级人民政府应当采取措施，加强母婴保健工作，提高医疗保健服务水平，积极防治由环境因素所致严重危害母亲和婴儿健康的地方性高发性疾病，促进母婴保健事业的发展。</w:t>
            </w:r>
          </w:p>
          <w:p w14:paraId="7011732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县级以上地方人民政府卫生行政部门管理本行政区域内的母婴保健工作；省、自治区、直辖市人民政府卫生行政部门指定的医疗保健机构负责本行政区域内的母婴保健监测和技术指导。</w:t>
            </w:r>
          </w:p>
          <w:p w14:paraId="0D3142F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保健机构按照国务院卫生行政部门的规定，负责其职责范围内的母婴保健工作，建立医疗保健工作规范，提高医学技术水平，采取各种措施方便人民群众，做好母婴保健服务工作，并积极开展婚前医学检查、遗传病诊断、产前诊断以及施行结扎手术和终止妊娠手术，但必须符合国务院卫生行政部门规定的条件和技术标准，并经县级以上地方人民政府卫生行政部门许可。严禁采用技术手段对胎儿进行性别鉴定（医学上确有需要的除外）。凡从事规定的遗传病诊断、产前诊断的人员，必须经过省、自治区、直辖市人民政府卫生行政部门的考核，并取得相应的合格证书。从事母婴保健工作的人员应当严格遵守职业道德，为当事人保守秘密。</w:t>
            </w:r>
          </w:p>
          <w:p w14:paraId="6E3A008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二、孕期监护</w:t>
            </w:r>
          </w:p>
          <w:p w14:paraId="23B07EC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孕期监护主要是通过定期的产期检查来实现的。孕期检查的时间应从确诊早孕时开始。应行双合诊并测量基础血压，检查心肺，测尿蛋白及尿糖。对有遗传病家族史或分娩史者，可以在妊娠早期行绒毛活检，也可在妊娠中期抽取羊水行染色体核型分析，以降低先天缺陷儿及遗传病儿的出生率。经上述检查未发现异常者，应于妊娠20～36周每4周检查1次，妊娠36周以后每周检查1次。高危孕妇应酌情增加产前检查次数。结合前述产前诊断，做出孕期监护结论报告。</w:t>
            </w:r>
          </w:p>
          <w:p w14:paraId="6F38C52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三、孕期管理</w:t>
            </w:r>
          </w:p>
          <w:p w14:paraId="59923EB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随着改革开放的前进步伐和医学科技事业的高速发展，近年来我国的孕产妇系统保健事业发展很快，各地均先后建立健全了孕产妇系统保健与孕妇管理制度，其目标为降低孕产妇及围生儿患病率，并提高母婴生活质量。根据卫计委的要求，国内已普遍实行孕产期系统保健的三级管理，推广使用孕产妇系统保健手册，着重对高危妊娠（在妊娠期有某种并发症、合并症或致病因素可能危害孕妇、胎儿及新生儿或导致难产者）进行筛查、监护和管理。</w:t>
            </w:r>
          </w:p>
          <w:p w14:paraId="3093640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（一）实行孕产期系统保健的三级管理</w:t>
            </w:r>
          </w:p>
          <w:p w14:paraId="37F7232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对孕产妇开展系统管理，为的是认真做到医疗与预防能够紧密结合，加强产科工作的系统性以保证质量，并使有限的人力物力发挥更大的社会效益和经济效益。如今在我国城乡，对孕产妇均已开展系统保健管理，采用医疗保健机构的三级分工。城市开展医院三级分工（市、区、街道）和妇幼保健机构三级分工（市、区、基层卫生院），实行孕产妇划片分级分工，并健全相互间挂钩、转诊等制度。农村也开展三级分工（县、市医院和县妇幼保健站（院）、乡卫生院、村妇幼保健人员）。通过三级分工，一级机构（基层医院或保健站）对全体孕产妇负责，定期检查，一旦发现异常，及早将高危孕妇（指具有高危妊娠因素的孕妇）或高危胎儿转至上级医院进行监护处理。有条件的地区，可以利用仪器及实验检测手段，对高危妊娠、胎儿胎盘单位功能以及胎儿成熟度进行监测，以降低孕产妇的并发症，特别是危害胎儿的并发症。在实行分级管理，做到对所有孕产妇均能得到一般保健服务的基础上，对高危孕妇给予更充分的照顾。</w:t>
            </w:r>
          </w:p>
          <w:p w14:paraId="3EC29F8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（二）使用孕产妇系统保健手册</w:t>
            </w:r>
          </w:p>
          <w:p w14:paraId="76744CE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建立孕产妇系统保健手册制度，目的是加强对孕产妇的系统管理，提高产科防治质量，降低“三率”（孕产妇死亡率、围生儿死亡率和病残儿出生率）。使用保健手册需从确诊早孕时开始建册，系统管理直至产褥期（产后满6周）结束。手册应记录孕妇主要病史、体征及处理情况，是孕产期全过程的病历摘要，包括开始时建立手册，填写在孕产妇的登记册上，凭保健手册在一、二、三级医疗保健机构定期做产前检查。每次做产前检查时均应将结果填写在手册中，去医院住院分娩时必须交出保健手册，出院时需将住院分娩及产后母婴情况填写完整后将手册交给产妇本人，由产妇家属交至居住的基层医疗保健组织，街道卫生院收到手册后进行产后访视（共3次，第1次于产妇出院3日内，第2次于产后14日，第3次于产后28日），产后访视结束后将保健手册汇总送至县、区妇幼保健所进行详细的统计分析。使用保健手册的优点在于能够使各级医疗机构和保健机构相互沟通信息，加强协作，做到防治结合，效果满意。实践证明在孕产期使用保健手册制度是可行有效的。</w:t>
            </w:r>
          </w:p>
          <w:p w14:paraId="59FE8CA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（三）加强对高危妊娠的筛查、监护和管理</w:t>
            </w:r>
          </w:p>
          <w:p w14:paraId="088FC37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通过确诊早孕时的初步筛查以及每次产前检查时，均能及时筛查出具有中危或高危因素的孕妇。常见的高危因素有孕妇的基本情况（如年龄、身高、体质、不孕史等）、不良孕产史、内外科合并症和产科并发症4方面，又分为固定因素和动态因素两大类，为及早识别和预防高危因素的发生与发展，可以用评分方法提示其对母婴危害的严重程度，同时还要考虑有关社会因素，如经济、文化、交通、医疗卫生设施等。对高危孕</w:t>
            </w:r>
          </w:p>
          <w:p w14:paraId="2674ED05">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妇，基层医疗保健机构要专册登记，并在手册上做出特殊标记。对高危因素复杂或病情严重孕妇，应及早转送至上一级医疗单位诊治。上级医疗单位应全面衡量高危因素对孕产妇影响的严重程度，结合胎儿胎盘单位功能的检测和胎儿成熟度的预测，选择对母儿均最有利的分娩方式，决定有计划地适时分娩。有妊娠禁忌证者，经会诊后动员及早终止妊娠。想方设法不断提高高危妊娠管理的“三率”（高危妊娠检出率、高危妊娠随诊</w:t>
            </w:r>
          </w:p>
          <w:p w14:paraId="5E9486AD">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bCs w:val="0"/>
                <w:color w:val="C00000"/>
                <w:kern w:val="2"/>
                <w:sz w:val="21"/>
                <w:szCs w:val="21"/>
              </w:rPr>
            </w:pPr>
            <w:r>
              <w:rPr>
                <w:rFonts w:hint="eastAsia" w:asciiTheme="minorEastAsia" w:hAnsiTheme="minorEastAsia" w:eastAsiaTheme="minorEastAsia" w:cstheme="minorEastAsia"/>
                <w:color w:val="231F20"/>
                <w:kern w:val="0"/>
                <w:sz w:val="21"/>
                <w:szCs w:val="21"/>
                <w:lang w:val="en-US" w:eastAsia="zh-CN" w:bidi="ar"/>
              </w:rPr>
              <w:t>率、高危妊娠住院分娩率），是降低孕产妇死亡率、围生儿死亡率、病残儿出生率的重要手段。</w:t>
            </w:r>
          </w:p>
          <w:p w14:paraId="6DB9CF2A">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366" w:type="dxa"/>
            <w:tcBorders>
              <w:tl2br w:val="nil"/>
              <w:tr2bl w:val="nil"/>
            </w:tcBorders>
            <w:vAlign w:val="center"/>
          </w:tcPr>
          <w:p w14:paraId="163F45BC">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b/>
                <w:szCs w:val="24"/>
              </w:rPr>
              <w:t>通过教师讲解，了解</w:t>
            </w:r>
            <w:r>
              <w:rPr>
                <w:rFonts w:hint="eastAsia" w:asciiTheme="minorEastAsia" w:hAnsiTheme="minorEastAsia" w:eastAsiaTheme="minorEastAsia" w:cstheme="minorEastAsia"/>
                <w:b/>
                <w:szCs w:val="24"/>
                <w:lang w:val="en-US" w:eastAsia="zh-CN"/>
              </w:rPr>
              <w:t>展示孕产期保健和孕产期监护与管理</w:t>
            </w:r>
            <w:r>
              <w:rPr>
                <w:rFonts w:hint="eastAsia" w:asciiTheme="minorEastAsia" w:hAnsiTheme="minorEastAsia" w:eastAsiaTheme="minorEastAsia" w:cstheme="minorEastAsia"/>
                <w:b/>
                <w:szCs w:val="24"/>
              </w:rPr>
              <w:t>的基本理论知识。</w:t>
            </w:r>
          </w:p>
        </w:tc>
      </w:tr>
      <w:tr w14:paraId="45EBE6D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9DF27B6">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b/>
                <w:bCs w:val="0"/>
                <w:kern w:val="2"/>
                <w:sz w:val="24"/>
                <w:szCs w:val="24"/>
              </w:rPr>
            </w:pPr>
            <w:r>
              <w:rPr>
                <w:rFonts w:hint="eastAsia" w:asciiTheme="minorEastAsia" w:hAnsiTheme="minorEastAsia" w:eastAsiaTheme="minorEastAsia" w:cstheme="minorEastAsia"/>
                <w:b/>
                <w:bCs w:val="0"/>
                <w:kern w:val="2"/>
                <w:sz w:val="24"/>
                <w:szCs w:val="24"/>
                <w:lang w:val="en-US" w:eastAsia="zh-CN" w:bidi="ar"/>
              </w:rPr>
              <w:t>课堂小结</w:t>
            </w:r>
          </w:p>
          <w:p w14:paraId="138442DE">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（3min）</w:t>
            </w:r>
          </w:p>
        </w:tc>
        <w:tc>
          <w:tcPr>
            <w:tcW w:w="5807" w:type="dxa"/>
            <w:tcBorders>
              <w:tl2br w:val="nil"/>
              <w:tr2bl w:val="nil"/>
            </w:tcBorders>
            <w:vAlign w:val="center"/>
          </w:tcPr>
          <w:p w14:paraId="5E6DECF9">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回顾和总结本节课的知识点。</w:t>
            </w:r>
          </w:p>
          <w:p w14:paraId="614FCA0E">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heme="minorEastAsia" w:hAnsiTheme="minorEastAsia" w:eastAsiaTheme="minorEastAsia" w:cstheme="minorEastAsia"/>
                <w:b/>
                <w:bCs w:val="0"/>
                <w:kern w:val="2"/>
                <w:sz w:val="21"/>
                <w:szCs w:val="21"/>
                <w:lang w:val="en-US" w:eastAsia="zh-CN" w:bidi="ar-SA"/>
              </w:rPr>
            </w:pPr>
            <w:r>
              <w:rPr>
                <w:rFonts w:hint="eastAsia" w:asciiTheme="minorEastAsia" w:hAnsiTheme="minorEastAsia" w:eastAsiaTheme="minorEastAsia" w:cstheme="minorEastAsia"/>
                <w:b/>
                <w:bCs w:val="0"/>
                <w:kern w:val="2"/>
                <w:sz w:val="21"/>
                <w:szCs w:val="21"/>
                <w:lang w:val="en-US" w:eastAsia="zh-CN" w:bidi="ar"/>
              </w:rPr>
              <w:t>这节课我们一起学习了级人民政府应当采取措施，加强母婴保健工作，提高医疗保健服务水平，积极防治由环境因素所致严重危害母亲和婴儿健康的地方性高发性疾病，促进母婴保健事业的发展。</w:t>
            </w:r>
          </w:p>
        </w:tc>
        <w:tc>
          <w:tcPr>
            <w:tcW w:w="1366" w:type="dxa"/>
            <w:tcBorders>
              <w:tl2br w:val="nil"/>
              <w:tr2bl w:val="nil"/>
            </w:tcBorders>
            <w:vAlign w:val="center"/>
          </w:tcPr>
          <w:p w14:paraId="5570D052">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通过对所学知识的回顾，培养学生的归纳总结能力</w:t>
            </w:r>
          </w:p>
        </w:tc>
      </w:tr>
      <w:tr w14:paraId="7F1614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5225001">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b/>
                <w:bCs w:val="0"/>
                <w:kern w:val="2"/>
                <w:sz w:val="24"/>
                <w:szCs w:val="24"/>
                <w:lang w:val="en-US" w:eastAsia="zh-CN" w:bidi="ar"/>
              </w:rPr>
              <w:t>作业布置</w:t>
            </w:r>
            <w:r>
              <w:rPr>
                <w:rFonts w:hint="eastAsia" w:asciiTheme="minorEastAsia" w:hAnsiTheme="minorEastAsia" w:eastAsiaTheme="minorEastAsia" w:cstheme="minorEastAsia"/>
                <w:b w:val="0"/>
                <w:bCs w:val="0"/>
                <w:kern w:val="2"/>
                <w:sz w:val="21"/>
                <w:szCs w:val="21"/>
                <w:lang w:val="en-US" w:eastAsia="zh-CN" w:bidi="ar"/>
              </w:rPr>
              <w:t>（2min）</w:t>
            </w:r>
          </w:p>
        </w:tc>
        <w:tc>
          <w:tcPr>
            <w:tcW w:w="5807" w:type="dxa"/>
            <w:tcBorders>
              <w:tl2br w:val="nil"/>
              <w:tr2bl w:val="nil"/>
            </w:tcBorders>
            <w:vAlign w:val="center"/>
          </w:tcPr>
          <w:p w14:paraId="690C3011">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b w:val="0"/>
                <w:bCs/>
                <w:color w:val="C00000"/>
                <w:kern w:val="2"/>
                <w:sz w:val="21"/>
                <w:szCs w:val="21"/>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布置课后作业</w:t>
            </w:r>
          </w:p>
          <w:p w14:paraId="5501C70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heme="minorEastAsia" w:hAnsiTheme="minorEastAsia" w:eastAsiaTheme="minorEastAsia" w:cstheme="minorEastAsia"/>
                <w:bCs/>
                <w:kern w:val="2"/>
                <w:sz w:val="21"/>
                <w:szCs w:val="21"/>
                <w:lang w:val="en-US" w:eastAsia="zh-CN" w:bidi="ar-SA"/>
              </w:rPr>
            </w:pPr>
            <w:r>
              <w:rPr>
                <w:rFonts w:hint="eastAsia" w:asciiTheme="minorEastAsia" w:hAnsiTheme="minorEastAsia" w:eastAsiaTheme="minorEastAsia" w:cstheme="minorEastAsia"/>
                <w:b/>
                <w:bCs/>
                <w:color w:val="231F20"/>
                <w:kern w:val="0"/>
                <w:sz w:val="21"/>
                <w:szCs w:val="21"/>
                <w:lang w:val="en-US" w:eastAsia="zh-CN" w:bidi="ar"/>
              </w:rPr>
              <w:t>母婴保健的行政管理是什么？</w:t>
            </w:r>
          </w:p>
        </w:tc>
        <w:tc>
          <w:tcPr>
            <w:tcW w:w="1366" w:type="dxa"/>
            <w:tcBorders>
              <w:tl2br w:val="nil"/>
              <w:tr2bl w:val="nil"/>
            </w:tcBorders>
            <w:vAlign w:val="center"/>
          </w:tcPr>
          <w:p w14:paraId="153798F5">
            <w:pPr>
              <w:keepNext w:val="0"/>
              <w:keepLines w:val="0"/>
              <w:widowControl w:val="0"/>
              <w:suppressLineNumbers w:val="0"/>
              <w:spacing w:before="0" w:beforeAutospacing="0" w:after="0" w:afterAutospacing="0" w:line="360" w:lineRule="auto"/>
              <w:ind w:left="0" w:leftChars="0" w:right="0" w:rightChars="0"/>
              <w:jc w:val="left"/>
              <w:rPr>
                <w:rFonts w:hint="eastAsia" w:asciiTheme="minorEastAsia" w:hAnsiTheme="minorEastAsia" w:eastAsiaTheme="minorEastAsia" w:cstheme="minorEastAsia"/>
                <w:b/>
                <w:bCs w:val="0"/>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
              </w:rPr>
              <w:t>通过课后练习，使学生巩固所学新知识</w:t>
            </w:r>
          </w:p>
        </w:tc>
      </w:tr>
      <w:tr w14:paraId="68CF499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96FFDA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lang w:eastAsia="zh-CN"/>
              </w:rPr>
              <w:t>知识讲解</w:t>
            </w:r>
            <w:r>
              <w:rPr>
                <w:rFonts w:hint="eastAsia" w:asciiTheme="minorEastAsia" w:hAnsiTheme="minorEastAsia" w:eastAsiaTheme="minorEastAsia" w:cstheme="minorEastAsia"/>
                <w:szCs w:val="24"/>
              </w:rPr>
              <w:t>（45min）</w:t>
            </w:r>
          </w:p>
        </w:tc>
        <w:tc>
          <w:tcPr>
            <w:tcW w:w="5807" w:type="dxa"/>
            <w:tcBorders>
              <w:tl2br w:val="nil"/>
              <w:tr2bl w:val="nil"/>
            </w:tcBorders>
            <w:vAlign w:val="center"/>
          </w:tcPr>
          <w:p w14:paraId="05ECD388">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bCs w:val="0"/>
                <w:color w:val="C00000"/>
                <w:kern w:val="2"/>
                <w:sz w:val="21"/>
                <w:szCs w:val="21"/>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展示母婴保健的法律责任</w:t>
            </w:r>
          </w:p>
          <w:p w14:paraId="56C7139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一、行政责任</w:t>
            </w:r>
          </w:p>
          <w:p w14:paraId="1BACDBD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法》第三十五条规定：“未取得国家颁发的有关合格证书的，有下列行为之一，县级以上地方人民政府卫生行政部门应当予以制止，并可以根据情节给予警告或者处以罚款：①从事婚前医学检查、遗传病诊断、产前诊断或者医学技术鉴定的；②施行终止妊娠手术的；③出具本法规定的有关医学证明的。”</w:t>
            </w:r>
          </w:p>
          <w:p w14:paraId="36F27BE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母婴保健法实施办法》规定，从事母婴保健技术服务的人员出具虚假医学证明文件的，依法给予行政处分；有下列情形之一的，由原发证部门撤销相应的母婴保健技术执业资格或者医师执业证书：①因延误诊治，造成严重后果的；②给当事人身心健康造成严重后果的；③造成其他严重后果的。</w:t>
            </w:r>
          </w:p>
          <w:p w14:paraId="590664E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违反法律法规规定，进行胎儿性别鉴定的，由卫生行政部门给予警告，责令停止违法行为；对医疗、保健机构直接负责的主管人员和其他直接责任人员，依法给予行政处分。进行胎儿性别鉴定两次以上的或者以赢利为目的进行胎儿性别鉴定的，由原发证机关撤销相应的母婴保健技术执业资格或者医师执业证书。从事母婴保健工作的人员违反规定，出具有关虚假医学证明的，由医疗保健机构或者卫生行政部门根据情节给予行政处分；情节严重的，依法取消执业资格。</w:t>
            </w:r>
          </w:p>
          <w:p w14:paraId="17BDA52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二、民事责任</w:t>
            </w:r>
          </w:p>
          <w:p w14:paraId="5D4A1ED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保健机构或者人员未取得母婴保健技术许可，擅自从事婚前医学检查、遗传病诊断、产前诊断、终止妊娠手术和医学技术鉴定或者出具有关医学证明的，由卫生行政部门给予警告，责令其停止违法行为，没收违法所得；违法所得5000元以上的，并处违法所得3倍以上5倍以下的罚款；没有违法所得或者违法所得不足5000元的，并处5000元以上2万元以下的罚款。</w:t>
            </w:r>
          </w:p>
          <w:p w14:paraId="3F03E79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三、刑事责任</w:t>
            </w:r>
          </w:p>
          <w:p w14:paraId="2E86119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未取得国家颁发的有关合格证书，施行终止妊娠手术或者采取其他方法终止妊娠，致人死亡、残疾、丧失或者基本丧失劳动能力的，依照《中华人民共和国刑法》第一百三十四条、第一百三十五条的规定追究刑事责任。</w:t>
            </w:r>
          </w:p>
          <w:p w14:paraId="635C426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取得相应合格证书从事母婴保健的工作人员，由于严重不负责任，造成就诊人员死亡或者严重损害就诊人员身体健康的，依照《中华人民共和国刑法》第三百三十五条医疗事故罪追究刑事责任。</w:t>
            </w:r>
          </w:p>
          <w:p w14:paraId="5FF615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Theme="minorEastAsia" w:hAnsiTheme="minorEastAsia" w:eastAsiaTheme="minorEastAsia" w:cstheme="minorEastAsia"/>
                <w:color w:val="538135"/>
                <w:kern w:val="2"/>
                <w:sz w:val="21"/>
                <w:szCs w:val="21"/>
                <w:lang w:val="en-US" w:eastAsia="zh-CN" w:bidi="ar"/>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366" w:type="dxa"/>
            <w:tcBorders>
              <w:tl2br w:val="nil"/>
              <w:tr2bl w:val="nil"/>
            </w:tcBorders>
            <w:vAlign w:val="center"/>
          </w:tcPr>
          <w:p w14:paraId="55FFFC4F">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b/>
                <w:szCs w:val="24"/>
              </w:rPr>
              <w:t>教师通过</w:t>
            </w:r>
            <w:r>
              <w:rPr>
                <w:rFonts w:hint="eastAsia" w:asciiTheme="minorEastAsia" w:hAnsiTheme="minorEastAsia" w:eastAsiaTheme="minorEastAsia" w:cstheme="minorEastAsia"/>
                <w:b/>
                <w:szCs w:val="24"/>
                <w:lang w:eastAsia="zh-CN"/>
              </w:rPr>
              <w:t>文章展示</w:t>
            </w:r>
            <w:r>
              <w:rPr>
                <w:rFonts w:hint="eastAsia" w:asciiTheme="minorEastAsia" w:hAnsiTheme="minorEastAsia" w:eastAsiaTheme="minorEastAsia" w:cstheme="minorEastAsia"/>
                <w:b/>
                <w:szCs w:val="24"/>
              </w:rPr>
              <w:t>，</w:t>
            </w:r>
            <w:r>
              <w:rPr>
                <w:rFonts w:hint="eastAsia" w:asciiTheme="minorEastAsia" w:hAnsiTheme="minorEastAsia" w:eastAsiaTheme="minorEastAsia" w:cstheme="minorEastAsia"/>
                <w:b/>
                <w:szCs w:val="24"/>
                <w:lang w:eastAsia="zh-CN"/>
              </w:rPr>
              <w:t>让</w:t>
            </w:r>
            <w:r>
              <w:rPr>
                <w:rFonts w:hint="eastAsia" w:asciiTheme="minorEastAsia" w:hAnsiTheme="minorEastAsia" w:eastAsiaTheme="minorEastAsia" w:cstheme="minorEastAsia"/>
                <w:b/>
                <w:szCs w:val="24"/>
              </w:rPr>
              <w:t>学生</w:t>
            </w:r>
            <w:r>
              <w:rPr>
                <w:rFonts w:hint="eastAsia" w:asciiTheme="minorEastAsia" w:hAnsiTheme="minorEastAsia" w:eastAsiaTheme="minorEastAsia" w:cstheme="minorEastAsia"/>
                <w:b/>
                <w:szCs w:val="24"/>
                <w:lang w:val="en-US" w:eastAsia="zh-CN"/>
              </w:rPr>
              <w:t>母婴保健的法律责任</w:t>
            </w:r>
            <w:r>
              <w:rPr>
                <w:rFonts w:hint="eastAsia" w:asciiTheme="minorEastAsia" w:hAnsiTheme="minorEastAsia" w:eastAsiaTheme="minorEastAsia" w:cstheme="minorEastAsia"/>
                <w:b/>
                <w:szCs w:val="24"/>
              </w:rPr>
              <w:t>的基本理论知识。</w:t>
            </w:r>
          </w:p>
        </w:tc>
      </w:tr>
      <w:tr w14:paraId="2DE7370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A3A8E08">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b/>
                <w:bCs w:val="0"/>
                <w:kern w:val="2"/>
                <w:sz w:val="24"/>
                <w:szCs w:val="24"/>
              </w:rPr>
            </w:pPr>
            <w:r>
              <w:rPr>
                <w:rFonts w:hint="eastAsia" w:asciiTheme="minorEastAsia" w:hAnsiTheme="minorEastAsia" w:eastAsiaTheme="minorEastAsia" w:cstheme="minorEastAsia"/>
                <w:b/>
                <w:bCs w:val="0"/>
                <w:kern w:val="2"/>
                <w:sz w:val="24"/>
                <w:szCs w:val="24"/>
                <w:lang w:val="en-US" w:eastAsia="zh-CN" w:bidi="ar"/>
              </w:rPr>
              <w:t>课堂小结</w:t>
            </w:r>
          </w:p>
          <w:p w14:paraId="16DD32DA">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（3min）</w:t>
            </w:r>
          </w:p>
        </w:tc>
        <w:tc>
          <w:tcPr>
            <w:tcW w:w="5807" w:type="dxa"/>
            <w:tcBorders>
              <w:tl2br w:val="nil"/>
              <w:tr2bl w:val="nil"/>
            </w:tcBorders>
            <w:vAlign w:val="center"/>
          </w:tcPr>
          <w:p w14:paraId="599D9D5C">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回顾和总结本节课的知识点。</w:t>
            </w:r>
          </w:p>
          <w:p w14:paraId="68F6784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kern w:val="2"/>
                <w:sz w:val="21"/>
                <w:szCs w:val="21"/>
                <w:lang w:val="en-US" w:eastAsia="zh-CN" w:bidi="ar"/>
              </w:rPr>
            </w:pPr>
            <w:r>
              <w:rPr>
                <w:rFonts w:hint="eastAsia" w:asciiTheme="minorEastAsia" w:hAnsiTheme="minorEastAsia" w:eastAsiaTheme="minorEastAsia" w:cstheme="minorEastAsia"/>
                <w:b/>
                <w:bCs w:val="0"/>
                <w:kern w:val="2"/>
                <w:sz w:val="21"/>
                <w:szCs w:val="21"/>
                <w:lang w:val="en-US" w:eastAsia="zh-CN" w:bidi="ar"/>
              </w:rPr>
              <w:t>这节课我们一起学习了从事母婴保健工作的人员违反规定，出具有关虚假医学证明的，由医疗保健机构或者卫生行政部门根据情节给予行政处分；情节严重的，依法取消执业资格。</w:t>
            </w:r>
          </w:p>
          <w:p w14:paraId="64675DDF">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heme="minorEastAsia" w:hAnsiTheme="minorEastAsia" w:eastAsiaTheme="minorEastAsia" w:cstheme="minorEastAsia"/>
                <w:b/>
                <w:bCs w:val="0"/>
                <w:kern w:val="2"/>
                <w:sz w:val="21"/>
                <w:szCs w:val="21"/>
                <w:lang w:val="en-US" w:eastAsia="zh-CN" w:bidi="ar-SA"/>
              </w:rPr>
            </w:pPr>
          </w:p>
        </w:tc>
        <w:tc>
          <w:tcPr>
            <w:tcW w:w="1366" w:type="dxa"/>
            <w:tcBorders>
              <w:tl2br w:val="nil"/>
              <w:tr2bl w:val="nil"/>
            </w:tcBorders>
            <w:vAlign w:val="center"/>
          </w:tcPr>
          <w:p w14:paraId="68F722DE">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通过对所学知识的回顾，培养学生的归纳总结能力</w:t>
            </w:r>
          </w:p>
        </w:tc>
      </w:tr>
      <w:tr w14:paraId="1F9FFCD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306A3ED">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b/>
                <w:bCs w:val="0"/>
                <w:kern w:val="2"/>
                <w:sz w:val="24"/>
                <w:szCs w:val="24"/>
                <w:lang w:val="en-US" w:eastAsia="zh-CN" w:bidi="ar"/>
              </w:rPr>
              <w:t>作业布置</w:t>
            </w:r>
            <w:r>
              <w:rPr>
                <w:rFonts w:hint="eastAsia" w:asciiTheme="minorEastAsia" w:hAnsiTheme="minorEastAsia" w:eastAsiaTheme="minorEastAsia" w:cstheme="minorEastAsia"/>
                <w:kern w:val="2"/>
                <w:sz w:val="21"/>
                <w:szCs w:val="21"/>
                <w:lang w:val="en-US" w:eastAsia="zh-CN" w:bidi="ar"/>
              </w:rPr>
              <w:t>（2min）</w:t>
            </w:r>
          </w:p>
        </w:tc>
        <w:tc>
          <w:tcPr>
            <w:tcW w:w="5807" w:type="dxa"/>
            <w:tcBorders>
              <w:tl2br w:val="nil"/>
              <w:tr2bl w:val="nil"/>
            </w:tcBorders>
            <w:vAlign w:val="center"/>
          </w:tcPr>
          <w:p w14:paraId="510AF9B4">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布置课后作业</w:t>
            </w:r>
          </w:p>
          <w:p w14:paraId="5BD8A43E">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heme="minorEastAsia" w:hAnsiTheme="minorEastAsia" w:eastAsiaTheme="minorEastAsia" w:cstheme="minorEastAsia"/>
                <w:b/>
                <w:bCs w:val="0"/>
                <w:kern w:val="2"/>
                <w:sz w:val="21"/>
                <w:szCs w:val="21"/>
                <w:lang w:val="en-US" w:eastAsia="zh-CN" w:bidi="ar"/>
              </w:rPr>
            </w:pPr>
            <w:r>
              <w:rPr>
                <w:rFonts w:hint="eastAsia" w:asciiTheme="minorEastAsia" w:hAnsiTheme="minorEastAsia" w:eastAsiaTheme="minorEastAsia" w:cstheme="minorEastAsia"/>
                <w:b/>
                <w:bCs w:val="0"/>
                <w:kern w:val="2"/>
                <w:sz w:val="21"/>
                <w:szCs w:val="21"/>
                <w:lang w:val="en-US" w:eastAsia="zh-CN" w:bidi="ar"/>
              </w:rPr>
              <w:t>简述违反母婴保健法的法律责任。</w:t>
            </w:r>
          </w:p>
          <w:p w14:paraId="55F8B67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heme="minorEastAsia" w:hAnsiTheme="minorEastAsia" w:eastAsiaTheme="minorEastAsia" w:cstheme="minorEastAsia"/>
                <w:b/>
                <w:bCs w:val="0"/>
                <w:kern w:val="2"/>
                <w:sz w:val="21"/>
                <w:szCs w:val="21"/>
                <w:lang w:val="en-US" w:eastAsia="zh-CN" w:bidi="ar-SA"/>
              </w:rPr>
            </w:pPr>
          </w:p>
        </w:tc>
        <w:tc>
          <w:tcPr>
            <w:tcW w:w="1366" w:type="dxa"/>
            <w:tcBorders>
              <w:tl2br w:val="nil"/>
              <w:tr2bl w:val="nil"/>
            </w:tcBorders>
            <w:vAlign w:val="center"/>
          </w:tcPr>
          <w:p w14:paraId="00FF73C3">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通过课后练习，使学生巩固所学新知识</w:t>
            </w:r>
          </w:p>
        </w:tc>
      </w:tr>
      <w:tr w14:paraId="4E20F1C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14281A4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教学反思</w:t>
            </w:r>
          </w:p>
        </w:tc>
        <w:tc>
          <w:tcPr>
            <w:tcW w:w="7173" w:type="dxa"/>
            <w:gridSpan w:val="2"/>
            <w:tcBorders>
              <w:tl2br w:val="nil"/>
              <w:tr2bl w:val="nil"/>
            </w:tcBorders>
            <w:vAlign w:val="center"/>
          </w:tcPr>
          <w:p w14:paraId="047D771E">
            <w:pPr>
              <w:keepNext w:val="0"/>
              <w:keepLines w:val="0"/>
              <w:suppressLineNumbers w:val="0"/>
              <w:spacing w:before="0" w:beforeAutospacing="0" w:after="0" w:afterAutospacing="0" w:line="360" w:lineRule="auto"/>
              <w:ind w:left="0" w:right="0"/>
              <w:rPr>
                <w:rFonts w:hint="eastAsia" w:asciiTheme="minorEastAsia" w:hAnsiTheme="minorEastAsia" w:eastAsiaTheme="minorEastAsia" w:cstheme="minorEastAsia"/>
              </w:rPr>
            </w:pPr>
            <w:r>
              <w:rPr>
                <w:rFonts w:hint="eastAsia" w:asciiTheme="minorEastAsia" w:hAnsiTheme="minorEastAsia" w:eastAsiaTheme="minorEastAsia" w:cstheme="minorEastAsia"/>
              </w:rPr>
              <w:t>在教学过程中，教师要善于把命令式的、居高临下式的语言转化成商量式的、平等交流式的语言，把生硬冰冷的语言变成富有感情色彩的语言。</w:t>
            </w:r>
          </w:p>
        </w:tc>
      </w:tr>
      <w:bookmarkEnd w:id="0"/>
    </w:tbl>
    <w:p w14:paraId="7DF85783"/>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EFDE6732-5E9A-41B6-8DA9-30A6CCD5FF02}"/>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embedRegular r:id="rId2" w:fontKey="{9AB3854F-6B1B-4981-8917-CB4F44B9999C}"/>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3" w:fontKey="{FF57CADA-1278-4FE1-B97B-E76E121230CC}"/>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4" w:fontKey="{B1613693-E5D0-4A01-921D-0FD36412AFCA}"/>
  </w:font>
  <w:font w:name="楷体_GB2312">
    <w:panose1 w:val="02010609030101010101"/>
    <w:charset w:val="86"/>
    <w:family w:val="auto"/>
    <w:pitch w:val="default"/>
    <w:sig w:usb0="00000001" w:usb1="080E0000" w:usb2="00000000" w:usb3="00000000" w:csb0="00040000" w:csb1="00000000"/>
  </w:font>
  <w:font w:name="方正书宋简体">
    <w:panose1 w:val="03000509000000000000"/>
    <w:charset w:val="86"/>
    <w:family w:val="auto"/>
    <w:pitch w:val="default"/>
    <w:sig w:usb0="00000001" w:usb1="080E0000" w:usb2="00000000" w:usb3="00000000" w:csb0="00040000" w:csb1="00000000"/>
  </w:font>
  <w:font w:name="MS PGothic">
    <w:panose1 w:val="020B0600070205080204"/>
    <w:charset w:val="80"/>
    <w:family w:val="auto"/>
    <w:pitch w:val="default"/>
    <w:sig w:usb0="E00002FF" w:usb1="6AC7FDFB" w:usb2="08000012" w:usb3="00000000" w:csb0="4002009F" w:csb1="DFD7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4569D"/>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4647BB9"/>
    <w:rsid w:val="0AC91BFE"/>
    <w:rsid w:val="0C531B3D"/>
    <w:rsid w:val="0E3C75E8"/>
    <w:rsid w:val="10CF32FA"/>
    <w:rsid w:val="14276FAA"/>
    <w:rsid w:val="14515DD5"/>
    <w:rsid w:val="15B910B3"/>
    <w:rsid w:val="17EF1AA9"/>
    <w:rsid w:val="18934C0E"/>
    <w:rsid w:val="1DC26B60"/>
    <w:rsid w:val="1DDF7A40"/>
    <w:rsid w:val="1FB84519"/>
    <w:rsid w:val="2003061B"/>
    <w:rsid w:val="20F13C9B"/>
    <w:rsid w:val="20FB5A46"/>
    <w:rsid w:val="21A37E40"/>
    <w:rsid w:val="21E06620"/>
    <w:rsid w:val="238347DF"/>
    <w:rsid w:val="239A1546"/>
    <w:rsid w:val="24B477DD"/>
    <w:rsid w:val="25D565A0"/>
    <w:rsid w:val="278141AB"/>
    <w:rsid w:val="28B578A7"/>
    <w:rsid w:val="295126A7"/>
    <w:rsid w:val="2C710C40"/>
    <w:rsid w:val="3034687E"/>
    <w:rsid w:val="322A12C5"/>
    <w:rsid w:val="34AD60CD"/>
    <w:rsid w:val="34B67F89"/>
    <w:rsid w:val="34CC693E"/>
    <w:rsid w:val="368D542E"/>
    <w:rsid w:val="37101AAB"/>
    <w:rsid w:val="388B134B"/>
    <w:rsid w:val="3AB3405B"/>
    <w:rsid w:val="3AE66A84"/>
    <w:rsid w:val="3C237941"/>
    <w:rsid w:val="41270465"/>
    <w:rsid w:val="4151103E"/>
    <w:rsid w:val="436C72A2"/>
    <w:rsid w:val="43CD7F64"/>
    <w:rsid w:val="43DB451C"/>
    <w:rsid w:val="44B33A23"/>
    <w:rsid w:val="45C91BBA"/>
    <w:rsid w:val="48117C08"/>
    <w:rsid w:val="49F8701E"/>
    <w:rsid w:val="4B2C6678"/>
    <w:rsid w:val="4C7F0E23"/>
    <w:rsid w:val="4FFA4F97"/>
    <w:rsid w:val="537C59B1"/>
    <w:rsid w:val="582E68E8"/>
    <w:rsid w:val="59253C51"/>
    <w:rsid w:val="5A7C6694"/>
    <w:rsid w:val="5AF50835"/>
    <w:rsid w:val="5E340A9B"/>
    <w:rsid w:val="5EC549C2"/>
    <w:rsid w:val="5FFC3909"/>
    <w:rsid w:val="600E33E1"/>
    <w:rsid w:val="622A303A"/>
    <w:rsid w:val="65274800"/>
    <w:rsid w:val="67797A29"/>
    <w:rsid w:val="69362744"/>
    <w:rsid w:val="6A4D41E9"/>
    <w:rsid w:val="6D751B92"/>
    <w:rsid w:val="6F8275FE"/>
    <w:rsid w:val="6FA83C70"/>
    <w:rsid w:val="723010AC"/>
    <w:rsid w:val="72E15E16"/>
    <w:rsid w:val="76411C10"/>
    <w:rsid w:val="798B5E75"/>
    <w:rsid w:val="7B133AD1"/>
    <w:rsid w:val="7B5B603A"/>
    <w:rsid w:val="7B762E74"/>
    <w:rsid w:val="7B786BEC"/>
    <w:rsid w:val="7C364B59"/>
    <w:rsid w:val="7DB14637"/>
    <w:rsid w:val="7E1F5A45"/>
    <w:rsid w:val="7FCD6B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15</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2025-07-24T05:30:21Z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B5EEA2687DB547499328B5D01F2E9026_13</vt:lpwstr>
  </property>
  <property fmtid="{D5CDD505-2E9C-101B-9397-08002B2CF9AE}" pid="4" name="KSOTemplateDocerSaveRecord">
    <vt:lpwstr>eyJoZGlkIjoiOTcxZjc4Y2ViNTBlZDVmZTI3YTAxZGE1NWVmM2E2NDEiLCJ1c2VySWQiOiI0MDMzMDA2MzYifQ==</vt:lpwstr>
  </property>
</Properties>
</file>